
<file path=[Content_Types].xml><?xml version="1.0" encoding="utf-8"?>
<Types xmlns="http://schemas.openxmlformats.org/package/2006/content-types">
  <Default Extension="xlsx" ContentType="application/vnd.openxmlformats-officedocument.spreadsheetml.sheet"/>
  <Default Extension="xml" ContentType="application/xml"/>
  <Default Extension="rels" ContentType="application/vnd.openxmlformats-package.relationships+xml"/>
  <Override PartName="/word/theme/theme1.xml" ContentType="application/vnd.openxmlformats-officedocument.theme+xml"/>
  <Override PartName="/word/charts/chart3.xml" ContentType="application/vnd.openxmlformats-officedocument.drawingml.chart+xml"/>
  <Override PartName="/word/numbering.xml" ContentType="application/vnd.openxmlformats-officedocument.wordprocessingml.numbering+xml"/>
  <Override PartName="/word/charts/colors3.xml" ContentType="application/vnd.ms-office.chartcolorstyle+xml"/>
  <Override PartName="/word/settings.xml" ContentType="application/vnd.openxmlformats-officedocument.wordprocessingml.settings+xml"/>
  <Override PartName="/word/charts/colors5.xml" ContentType="application/vnd.ms-office.chartcolorstyle+xml"/>
  <Override PartName="/word/charts/chart4.xml" ContentType="application/vnd.openxmlformats-officedocument.drawingml.chart+xml"/>
  <Override PartName="/word/charts/colors4.xml" ContentType="application/vnd.ms-office.chartcolorstyle+xml"/>
  <Override PartName="/word/document.xml" ContentType="application/vnd.openxmlformats-officedocument.wordprocessingml.document.main+xml"/>
  <Override PartName="/word/charts/style1.xml" ContentType="application/vnd.ms-office.chartstyle+xml"/>
  <Override PartName="/customXml/itemProps1.xml" ContentType="application/vnd.openxmlformats-officedocument.customXmlProperties+xml"/>
  <Override PartName="/word/charts/style5.xml" ContentType="application/vnd.ms-office.chartstyle+xml"/>
  <Override PartName="/word/styles.xml" ContentType="application/vnd.openxmlformats-officedocument.wordprocessingml.styles+xml"/>
  <Override PartName="/docProps/app.xml" ContentType="application/vnd.openxmlformats-officedocument.extended-properties+xml"/>
  <Override PartName="/word/charts/colors1.xml" ContentType="application/vnd.ms-office.chartcolorstyle+xml"/>
  <Override PartName="/word/fontTable.xml" ContentType="application/vnd.openxmlformats-officedocument.wordprocessingml.fontTable+xml"/>
  <Override PartName="/word/charts/chart5.xml" ContentType="application/vnd.openxmlformats-officedocument.drawingml.chart+xml"/>
  <Override PartName="/docProps/core.xml" ContentType="application/vnd.openxmlformats-package.core-properties+xml"/>
  <Override PartName="/word/charts/chart1.xml" ContentType="application/vnd.openxmlformats-officedocument.drawingml.chart+xml"/>
  <Override PartName="/word/charts/style2.xml" ContentType="application/vnd.ms-office.chartstyle+xml"/>
  <Override PartName="/word/charts/style4.xml" ContentType="application/vnd.ms-office.chartstyle+xml"/>
  <Override PartName="/docProps/custom.xml" ContentType="application/vnd.openxmlformats-officedocument.custom-properties+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4103"/>
        <w:rPr/>
      </w:pPr>
    </w:p>
    <w:p>
      <w:pPr>
        <w:pStyle w:val="style0"/>
        <w:jc w:val="both"/>
        <w:rPr>
          <w:rFonts w:ascii="Times New Roman" w:cs="Times New Roman" w:hAnsi="Times New Roman"/>
          <w:i/>
          <w:color w:val="000000"/>
          <w:sz w:val="28"/>
          <w:szCs w:val="28"/>
        </w:rPr>
      </w:pPr>
      <w:r>
        <w:rPr>
          <w:i/>
          <w:sz w:val="28"/>
          <w:szCs w:val="28"/>
        </w:rPr>
        <w:t xml:space="preserve"> </w:t>
      </w:r>
      <w:r>
        <w:rPr>
          <w:b/>
          <w:bCs/>
          <w:i/>
          <w:iCs/>
          <w:sz w:val="28"/>
          <w:szCs w:val="28"/>
        </w:rPr>
        <w:t>International STD Research &amp; Reviews</w:t>
      </w: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COMMON ISOLATES AND ANTIBIOTIC SUSCEPTIBILITY PATTERN OF URINE SAMPLES AMONG PATIENTS ATTENDING A TERTIARY HEALTH INSTITUTION IN SOUTH SOUTH NIGERIA</w:t>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b/>
          <w:color w:val="000000"/>
          <w:sz w:val="24"/>
          <w:szCs w:val="24"/>
        </w:rPr>
      </w:pPr>
      <w:r>
        <w:rPr>
          <w:rFonts w:ascii="Times New Roman" w:cs="Times New Roman" w:hAnsi="Times New Roman"/>
          <w:b/>
          <w:color w:val="000000"/>
          <w:sz w:val="24"/>
          <w:szCs w:val="24"/>
        </w:rPr>
        <w:t>Abstrac</w:t>
      </w:r>
      <w:r>
        <w:rPr>
          <w:rFonts w:ascii="Times New Roman" w:cs="Times New Roman" w:hAnsi="Times New Roman"/>
          <w:b/>
          <w:color w:val="000000"/>
          <w:sz w:val="24"/>
          <w:szCs w:val="24"/>
          <w:lang w:val="en-GB"/>
        </w:rPr>
        <w:t>t</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color w:val="000000"/>
          <w:sz w:val="24"/>
          <w:szCs w:val="24"/>
        </w:rPr>
        <w:t>Background of Study</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Urinary tract infection (UTI) constitutes a major public health concern worldwide and is the second most common bacterial infection affecting individuals of different ages. Bacteria are implicated in approximately 95% of UTIs.  Poor UTI treatment outcome due to antimicrobial resistance has been a critical challenge in the past decades. </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color w:val="000000"/>
          <w:sz w:val="24"/>
          <w:szCs w:val="24"/>
        </w:rPr>
        <w:t>Aim</w:t>
      </w:r>
      <w:r>
        <w:rPr>
          <w:rFonts w:ascii="Times New Roman" w:cs="Times New Roman" w:hAnsi="Times New Roman"/>
          <w:color w:val="000000"/>
          <w:sz w:val="24"/>
          <w:szCs w:val="24"/>
        </w:rPr>
        <w:t xml:space="preserve">: To </w:t>
      </w:r>
      <w:r>
        <w:rPr>
          <w:rFonts w:ascii="Times New Roman" w:cs="Times New Roman" w:hAnsi="Times New Roman"/>
          <w:color w:val="000000"/>
          <w:sz w:val="24"/>
          <w:szCs w:val="24"/>
        </w:rPr>
        <w:t>identify</w:t>
      </w:r>
      <w:r>
        <w:rPr>
          <w:rFonts w:ascii="Times New Roman" w:cs="Times New Roman" w:hAnsi="Times New Roman"/>
          <w:color w:val="000000"/>
          <w:sz w:val="24"/>
          <w:szCs w:val="24"/>
        </w:rPr>
        <w:t xml:space="preserve"> the main isolates in UTI and </w:t>
      </w:r>
      <w:r>
        <w:rPr>
          <w:rFonts w:ascii="Times New Roman" w:cs="Times New Roman" w:hAnsi="Times New Roman"/>
          <w:color w:val="000000"/>
          <w:sz w:val="24"/>
          <w:szCs w:val="24"/>
        </w:rPr>
        <w:t xml:space="preserve">their </w:t>
      </w:r>
      <w:r>
        <w:rPr>
          <w:rFonts w:ascii="Times New Roman" w:cs="Times New Roman" w:hAnsi="Times New Roman"/>
          <w:color w:val="000000"/>
          <w:sz w:val="24"/>
          <w:szCs w:val="24"/>
        </w:rPr>
        <w:t xml:space="preserve">antibiotic susceptibility patterns </w:t>
      </w:r>
      <w:r>
        <w:rPr>
          <w:rFonts w:ascii="Times New Roman" w:cs="Times New Roman" w:hAnsi="Times New Roman"/>
          <w:color w:val="000000"/>
          <w:sz w:val="24"/>
          <w:szCs w:val="24"/>
        </w:rPr>
        <w:t xml:space="preserve">in Federal Medical Centre </w:t>
      </w:r>
      <w:r>
        <w:rPr>
          <w:rFonts w:ascii="Times New Roman" w:cs="Times New Roman" w:hAnsi="Times New Roman"/>
          <w:color w:val="000000"/>
          <w:sz w:val="24"/>
          <w:szCs w:val="24"/>
        </w:rPr>
        <w:t>Asaba</w:t>
      </w:r>
      <w:r>
        <w:rPr>
          <w:rFonts w:ascii="Times New Roman" w:cs="Times New Roman" w:hAnsi="Times New Roman"/>
          <w:color w:val="000000"/>
          <w:sz w:val="24"/>
          <w:szCs w:val="24"/>
        </w:rPr>
        <w:t xml:space="preserve"> as a guide to develo</w:t>
      </w:r>
      <w:r>
        <w:rPr>
          <w:rFonts w:ascii="Times New Roman" w:cs="Times New Roman" w:hAnsi="Times New Roman"/>
          <w:color w:val="000000"/>
          <w:sz w:val="24"/>
          <w:szCs w:val="24"/>
        </w:rPr>
        <w:t xml:space="preserve">ping corresponding </w:t>
      </w:r>
      <w:r>
        <w:rPr>
          <w:rFonts w:ascii="Times New Roman" w:cs="Times New Roman" w:hAnsi="Times New Roman"/>
          <w:color w:val="000000"/>
          <w:sz w:val="24"/>
          <w:szCs w:val="24"/>
        </w:rPr>
        <w:t>antibiogram</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to support empirical treatment of these infections. </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color w:val="000000"/>
          <w:sz w:val="24"/>
          <w:szCs w:val="24"/>
        </w:rPr>
        <w:t>Methodology</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 three - year retrospective cross-sectional study carried out by reviewing laboratory records with a focus on identifying bacterial pathogens causing UTI as well as evaluating th</w:t>
      </w:r>
      <w:r>
        <w:rPr>
          <w:rFonts w:ascii="Times New Roman" w:cs="Times New Roman" w:hAnsi="Times New Roman"/>
          <w:color w:val="000000"/>
          <w:sz w:val="24"/>
          <w:szCs w:val="24"/>
        </w:rPr>
        <w:t xml:space="preserve">eir antibiotics susceptibility in </w:t>
      </w:r>
      <w:r>
        <w:rPr>
          <w:rFonts w:ascii="Times New Roman" w:cs="Times New Roman" w:hAnsi="Times New Roman"/>
          <w:color w:val="000000"/>
          <w:sz w:val="24"/>
          <w:szCs w:val="24"/>
        </w:rPr>
        <w:t>Federal Medical Centre, Asaba, Delta State, Nigeria.</w:t>
      </w:r>
      <w:r>
        <w:rPr>
          <w:rFonts w:ascii="Times New Roman" w:cs="Times New Roman" w:hAnsi="Times New Roman"/>
          <w:b/>
          <w:color w:val="000000"/>
          <w:sz w:val="24"/>
          <w:szCs w:val="24"/>
        </w:rPr>
        <w:t xml:space="preserve"> </w:t>
      </w:r>
      <w:r>
        <w:rPr>
          <w:rFonts w:ascii="Times New Roman" w:cs="Times New Roman" w:hAnsi="Times New Roman"/>
          <w:color w:val="000000"/>
          <w:sz w:val="24"/>
          <w:szCs w:val="24"/>
        </w:rPr>
        <w:t>All Urine microscopy</w:t>
      </w:r>
      <w:r>
        <w:rPr>
          <w:rFonts w:ascii="Times New Roman" w:cs="Times New Roman" w:hAnsi="Times New Roman"/>
          <w:color w:val="000000"/>
          <w:sz w:val="24"/>
          <w:szCs w:val="24"/>
        </w:rPr>
        <w:t>, culture</w:t>
      </w:r>
      <w:r>
        <w:rPr>
          <w:rFonts w:ascii="Times New Roman" w:cs="Times New Roman" w:hAnsi="Times New Roman"/>
          <w:color w:val="000000"/>
          <w:sz w:val="24"/>
          <w:szCs w:val="24"/>
        </w:rPr>
        <w:t xml:space="preserve"> and sensitivity results</w:t>
      </w:r>
      <w:r>
        <w:rPr>
          <w:rFonts w:ascii="Times New Roman" w:cs="Times New Roman" w:hAnsi="Times New Roman"/>
          <w:b/>
          <w:color w:val="000000"/>
          <w:sz w:val="24"/>
          <w:szCs w:val="24"/>
        </w:rPr>
        <w:t xml:space="preserve"> </w:t>
      </w:r>
      <w:r>
        <w:rPr>
          <w:rFonts w:ascii="Times New Roman" w:cs="Times New Roman" w:hAnsi="Times New Roman"/>
          <w:color w:val="000000"/>
          <w:sz w:val="24"/>
          <w:szCs w:val="24"/>
        </w:rPr>
        <w:t>from the 1</w:t>
      </w:r>
      <w:r>
        <w:rPr>
          <w:rFonts w:ascii="Times New Roman" w:cs="Times New Roman" w:hAnsi="Times New Roman"/>
          <w:color w:val="000000"/>
          <w:sz w:val="24"/>
          <w:szCs w:val="24"/>
          <w:vertAlign w:val="superscript"/>
        </w:rPr>
        <w:t>st</w:t>
      </w:r>
      <w:r>
        <w:rPr>
          <w:rFonts w:ascii="Times New Roman" w:cs="Times New Roman" w:hAnsi="Times New Roman"/>
          <w:color w:val="000000"/>
          <w:sz w:val="24"/>
          <w:szCs w:val="24"/>
        </w:rPr>
        <w:t xml:space="preserve"> of January, 2019</w:t>
      </w:r>
      <w:r>
        <w:rPr>
          <w:rFonts w:ascii="Times New Roman" w:cs="Times New Roman" w:hAnsi="Times New Roman"/>
          <w:color w:val="000000"/>
          <w:sz w:val="24"/>
          <w:szCs w:val="24"/>
        </w:rPr>
        <w:t xml:space="preserve"> to 31</w:t>
      </w:r>
      <w:r>
        <w:rPr>
          <w:rFonts w:ascii="Times New Roman" w:cs="Times New Roman" w:hAnsi="Times New Roman"/>
          <w:color w:val="000000"/>
          <w:sz w:val="24"/>
          <w:szCs w:val="24"/>
          <w:vertAlign w:val="superscript"/>
        </w:rPr>
        <w:t>st</w:t>
      </w:r>
      <w:r>
        <w:rPr>
          <w:rFonts w:ascii="Times New Roman" w:cs="Times New Roman" w:hAnsi="Times New Roman"/>
          <w:color w:val="000000"/>
          <w:sz w:val="24"/>
          <w:szCs w:val="24"/>
        </w:rPr>
        <w:t xml:space="preserve"> December, 2022</w:t>
      </w:r>
      <w:r>
        <w:rPr>
          <w:rFonts w:ascii="Times New Roman" w:cs="Times New Roman" w:hAnsi="Times New Roman"/>
          <w:color w:val="000000"/>
          <w:sz w:val="24"/>
          <w:szCs w:val="24"/>
        </w:rPr>
        <w:t xml:space="preserve"> were</w:t>
      </w:r>
      <w:r>
        <w:rPr>
          <w:rFonts w:ascii="Times New Roman" w:cs="Times New Roman" w:hAnsi="Times New Roman"/>
          <w:color w:val="000000"/>
          <w:sz w:val="24"/>
          <w:szCs w:val="24"/>
        </w:rPr>
        <w:t xml:space="preserve"> collected and</w:t>
      </w:r>
      <w:r>
        <w:rPr>
          <w:rFonts w:ascii="Times New Roman" w:cs="Times New Roman" w:hAnsi="Times New Roman"/>
          <w:color w:val="000000"/>
          <w:sz w:val="24"/>
          <w:szCs w:val="24"/>
        </w:rPr>
        <w:t xml:space="preserve"> reviewed.</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w:t>
      </w:r>
      <w:r>
        <w:rPr>
          <w:rFonts w:ascii="Times New Roman" w:cs="Times New Roman" w:hAnsi="Times New Roman"/>
          <w:b/>
          <w:color w:val="000000"/>
          <w:sz w:val="24"/>
          <w:szCs w:val="24"/>
        </w:rPr>
        <w:t>Results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 total number of 2113 results of subjects, 683 males and 1430 females, that attended the tertiary hospital from the 1</w:t>
      </w:r>
      <w:r>
        <w:rPr>
          <w:rFonts w:ascii="Times New Roman" w:cs="Times New Roman" w:hAnsi="Times New Roman"/>
          <w:color w:val="000000"/>
          <w:sz w:val="24"/>
          <w:szCs w:val="24"/>
          <w:vertAlign w:val="superscript"/>
        </w:rPr>
        <w:t>st</w:t>
      </w:r>
      <w:r>
        <w:rPr>
          <w:rFonts w:ascii="Times New Roman" w:cs="Times New Roman" w:hAnsi="Times New Roman"/>
          <w:color w:val="000000"/>
          <w:sz w:val="24"/>
          <w:szCs w:val="24"/>
        </w:rPr>
        <w:t xml:space="preserve"> of January, 2019</w:t>
      </w:r>
      <w:r>
        <w:rPr>
          <w:rFonts w:ascii="Times New Roman" w:cs="Times New Roman" w:hAnsi="Times New Roman"/>
          <w:color w:val="000000"/>
          <w:sz w:val="24"/>
          <w:szCs w:val="24"/>
        </w:rPr>
        <w:t xml:space="preserve"> to 31</w:t>
      </w:r>
      <w:r>
        <w:rPr>
          <w:rFonts w:ascii="Times New Roman" w:cs="Times New Roman" w:hAnsi="Times New Roman"/>
          <w:color w:val="000000"/>
          <w:sz w:val="24"/>
          <w:szCs w:val="24"/>
          <w:vertAlign w:val="superscript"/>
        </w:rPr>
        <w:t>st</w:t>
      </w:r>
      <w:r>
        <w:rPr>
          <w:rFonts w:ascii="Times New Roman" w:cs="Times New Roman" w:hAnsi="Times New Roman"/>
          <w:color w:val="000000"/>
          <w:sz w:val="24"/>
          <w:szCs w:val="24"/>
        </w:rPr>
        <w:t xml:space="preserve"> December, 2022</w:t>
      </w:r>
      <w:r>
        <w:rPr>
          <w:rFonts w:ascii="Times New Roman" w:cs="Times New Roman" w:hAnsi="Times New Roman"/>
          <w:color w:val="000000"/>
          <w:sz w:val="24"/>
          <w:szCs w:val="24"/>
        </w:rPr>
        <w:t xml:space="preserve"> were reviewed. The bacterial strains identified/isolated amo</w:t>
      </w:r>
      <w:r>
        <w:rPr>
          <w:rFonts w:ascii="Times New Roman" w:cs="Times New Roman" w:hAnsi="Times New Roman"/>
          <w:color w:val="000000"/>
          <w:sz w:val="24"/>
          <w:szCs w:val="24"/>
        </w:rPr>
        <w:t>ng the population studied were S</w:t>
      </w:r>
      <w:r>
        <w:rPr>
          <w:rFonts w:ascii="Times New Roman" w:cs="Times New Roman" w:hAnsi="Times New Roman"/>
          <w:color w:val="000000"/>
          <w:sz w:val="24"/>
          <w:szCs w:val="24"/>
        </w:rPr>
        <w:t>taphylococcus aureus 907 (42.9%), Escherichia coli 866 (41.9%), Klebsiella spp 232 (11.0%), Pseudomonas aeruginosa 54 (2.6%), Proteus spp 30 (1,4%), Streptococcus spp 2 (0.1%) Pantoea spp 1 and P. mirab</w:t>
      </w:r>
      <w:r>
        <w:rPr>
          <w:rFonts w:ascii="Times New Roman" w:cs="Times New Roman" w:hAnsi="Times New Roman"/>
          <w:color w:val="000000"/>
          <w:sz w:val="24"/>
          <w:szCs w:val="24"/>
        </w:rPr>
        <w:t>il</w:t>
      </w:r>
      <w:r>
        <w:rPr>
          <w:rFonts w:ascii="Times New Roman" w:cs="Times New Roman" w:hAnsi="Times New Roman"/>
          <w:color w:val="000000"/>
          <w:sz w:val="24"/>
          <w:szCs w:val="24"/>
        </w:rPr>
        <w:t>is 1.The records revealed that the organisms were isolated more in female subjects</w:t>
      </w:r>
      <w:r>
        <w:rPr>
          <w:rFonts w:ascii="Times New Roman" w:cs="Times New Roman" w:hAnsi="Times New Roman"/>
          <w:color w:val="000000"/>
          <w:sz w:val="24"/>
          <w:szCs w:val="24"/>
        </w:rPr>
        <w:t xml:space="preserve"> (66.7%)</w:t>
      </w:r>
      <w:r>
        <w:rPr>
          <w:rFonts w:ascii="Times New Roman" w:cs="Times New Roman" w:hAnsi="Times New Roman"/>
          <w:color w:val="000000"/>
          <w:sz w:val="24"/>
          <w:szCs w:val="24"/>
        </w:rPr>
        <w:t xml:space="preserve"> than male subjects</w:t>
      </w:r>
      <w:r>
        <w:rPr>
          <w:rFonts w:ascii="Times New Roman" w:cs="Times New Roman" w:hAnsi="Times New Roman"/>
          <w:color w:val="000000"/>
          <w:sz w:val="24"/>
          <w:szCs w:val="24"/>
        </w:rPr>
        <w:t xml:space="preserve"> (33.3%)</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w:t>
      </w:r>
      <w:r>
        <w:rPr>
          <w:rFonts w:ascii="Times New Roman" w:cs="Times New Roman" w:hAnsi="Times New Roman"/>
          <w:color w:val="000000"/>
          <w:sz w:val="24"/>
          <w:szCs w:val="24"/>
        </w:rPr>
        <w:t>taphylococcus aureus 285 males, 622 females, Echericia coli 294 males, 592 females, Klebsiella spp 62 males, 170 females, Pseudomonas aeruginosa 29 males 25 females, Proteus spp 13 males, 17 females, Streptococcus spp 2 females. Pantoea spp 1 female and P. mirab</w:t>
      </w:r>
      <w:r>
        <w:rPr>
          <w:rFonts w:ascii="Times New Roman" w:cs="Times New Roman" w:hAnsi="Times New Roman"/>
          <w:color w:val="000000"/>
          <w:sz w:val="24"/>
          <w:szCs w:val="24"/>
        </w:rPr>
        <w:t>il</w:t>
      </w:r>
      <w:r>
        <w:rPr>
          <w:rFonts w:ascii="Times New Roman" w:cs="Times New Roman" w:hAnsi="Times New Roman"/>
          <w:color w:val="000000"/>
          <w:sz w:val="24"/>
          <w:szCs w:val="24"/>
        </w:rPr>
        <w:t xml:space="preserve">is 1 female as well. The highest percentages of resistance have been observed against tested antibiotics. </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color w:val="000000"/>
          <w:sz w:val="24"/>
          <w:szCs w:val="24"/>
        </w:rPr>
        <w:t>Conclusion</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The majority of the isolates were extended spectru</w:t>
      </w:r>
      <w:r>
        <w:rPr>
          <w:rFonts w:ascii="Times New Roman" w:cs="Times New Roman" w:hAnsi="Times New Roman"/>
          <w:color w:val="000000"/>
          <w:sz w:val="24"/>
          <w:szCs w:val="24"/>
        </w:rPr>
        <w:t xml:space="preserve">m β-lactamase producers </w:t>
      </w:r>
      <w:r>
        <w:rPr>
          <w:rFonts w:ascii="Times New Roman" w:cs="Times New Roman" w:hAnsi="Times New Roman"/>
          <w:color w:val="000000"/>
          <w:sz w:val="24"/>
          <w:szCs w:val="24"/>
        </w:rPr>
        <w:t>and multidrug-resis</w:t>
      </w:r>
      <w:r>
        <w:rPr>
          <w:rFonts w:ascii="Times New Roman" w:cs="Times New Roman" w:hAnsi="Times New Roman"/>
          <w:color w:val="000000"/>
          <w:sz w:val="24"/>
          <w:szCs w:val="24"/>
        </w:rPr>
        <w:t>tant</w:t>
      </w:r>
      <w:r>
        <w:rPr>
          <w:rFonts w:ascii="Times New Roman" w:cs="Times New Roman" w:hAnsi="Times New Roman"/>
          <w:color w:val="000000"/>
          <w:sz w:val="24"/>
          <w:szCs w:val="24"/>
        </w:rPr>
        <w:t>. We observed that Gram-negative bacteria were the main cause of UTIs where the predominant microorganism was E. coli</w:t>
      </w:r>
      <w:r>
        <w:rPr>
          <w:rFonts w:ascii="Times New Roman" w:cs="Times New Roman" w:hAnsi="Times New Roman"/>
          <w:color w:val="000000"/>
          <w:sz w:val="24"/>
          <w:szCs w:val="24"/>
        </w:rPr>
        <w:t xml:space="preserve">. </w:t>
      </w:r>
    </w:p>
    <w:p>
      <w:pPr>
        <w:pStyle w:val="style4099"/>
        <w:spacing w:after="0"/>
        <w:rPr>
          <w:rFonts w:ascii="Times New Roman" w:hAnsi="Times New Roman"/>
          <w:iCs/>
          <w:color w:val="000000"/>
          <w:sz w:val="24"/>
          <w:szCs w:val="24"/>
        </w:rPr>
      </w:pPr>
    </w:p>
    <w:p>
      <w:pPr>
        <w:pStyle w:val="style4099"/>
        <w:spacing w:after="0"/>
        <w:rPr>
          <w:rFonts w:ascii="Times New Roman" w:hAnsi="Times New Roman"/>
          <w:iCs/>
          <w:color w:val="000000"/>
          <w:sz w:val="24"/>
          <w:szCs w:val="24"/>
        </w:rPr>
      </w:pPr>
      <w:r>
        <w:rPr>
          <w:rFonts w:ascii="Times New Roman" w:hAnsi="Times New Roman"/>
          <w:iCs/>
          <w:color w:val="000000"/>
          <w:sz w:val="24"/>
          <w:szCs w:val="24"/>
        </w:rPr>
        <w:t xml:space="preserve">Keywords: </w:t>
      </w:r>
      <w:r>
        <w:rPr>
          <w:rFonts w:ascii="Times New Roman" w:hAnsi="Times New Roman"/>
          <w:color w:val="000000"/>
          <w:sz w:val="24"/>
          <w:szCs w:val="24"/>
        </w:rPr>
        <w:t>Urinary tract infection</w:t>
      </w:r>
      <w:r>
        <w:rPr>
          <w:rFonts w:ascii="Times New Roman" w:hAnsi="Times New Roman"/>
          <w:iCs/>
          <w:color w:val="000000"/>
          <w:sz w:val="24"/>
          <w:szCs w:val="24"/>
        </w:rPr>
        <w:t xml:space="preserve">, </w:t>
      </w:r>
      <w:r>
        <w:rPr>
          <w:rFonts w:ascii="Times New Roman" w:hAnsi="Times New Roman"/>
          <w:color w:val="000000"/>
          <w:sz w:val="24"/>
          <w:szCs w:val="24"/>
        </w:rPr>
        <w:t>antibiotics susceptibility, treatment</w:t>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sectPr>
          <w:pgSz w:w="12240" w:h="15840" w:orient="portrait"/>
          <w:pgMar w:top="1440" w:right="1440" w:bottom="1440" w:left="1440" w:header="720" w:footer="720" w:gutter="0"/>
          <w:cols w:space="720"/>
          <w:docGrid w:linePitch="360"/>
        </w:sectPr>
      </w:pPr>
    </w:p>
    <w:p>
      <w:pPr>
        <w:pStyle w:val="style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Introduction</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Urinary tract infections cause significant morbidity and mortality. Globally, UTIs are the second most frequently seen bacterial </w:t>
      </w:r>
      <w:r>
        <w:rPr>
          <w:rFonts w:ascii="Times New Roman" w:cs="Times New Roman" w:hAnsi="Times New Roman"/>
          <w:color w:val="000000"/>
          <w:sz w:val="24"/>
          <w:szCs w:val="24"/>
        </w:rPr>
        <w:t xml:space="preserve">infection in individuals of different ages. [2 Najafabadi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2018].  Approximately 50% of women have UTIs at least once in their lifetime worldwide. UTIs occur more commonly in individuals aged 16–64 years </w:t>
      </w:r>
      <w:r>
        <w:rPr>
          <w:rFonts w:ascii="Times New Roman" w:cs="Times New Roman" w:hAnsi="Times New Roman"/>
          <w:color w:val="000000"/>
          <w:sz w:val="24"/>
          <w:szCs w:val="24"/>
        </w:rPr>
        <w:t>(Tandogdu &amp; Wagenlehner 2016) with very low prevalence among boys. However, UTIs can be seen in the first year of life mostly in those with anatomical or functional abnormalities. Additionally, UTIs reoccur very often in most individuals majorly due to disruption in or cessation of treatment leading to reinfection with the same or different microorganisms. (</w:t>
      </w:r>
      <w:r>
        <w:rPr>
          <w:rFonts w:ascii="Times New Roman" w:cs="Times New Roman" w:hAnsi="Times New Roman"/>
          <w:color w:val="000000"/>
          <w:sz w:val="24"/>
          <w:szCs w:val="24"/>
          <w:shd w:val="clear" w:color="auto" w:fill="ffffff"/>
        </w:rPr>
        <w:t xml:space="preserve">Muhammad </w:t>
      </w:r>
      <w:r>
        <w:rPr>
          <w:rFonts w:ascii="Times New Roman" w:cs="Times New Roman" w:hAnsi="Times New Roman"/>
          <w:i/>
          <w:color w:val="000000"/>
          <w:sz w:val="24"/>
          <w:szCs w:val="24"/>
          <w:shd w:val="clear" w:color="auto" w:fill="ffffff"/>
        </w:rPr>
        <w:t>et al.,</w:t>
      </w:r>
      <w:r>
        <w:rPr>
          <w:rFonts w:ascii="Times New Roman" w:cs="Times New Roman" w:hAnsi="Times New Roman"/>
          <w:color w:val="000000"/>
          <w:sz w:val="24"/>
          <w:szCs w:val="24"/>
          <w:shd w:val="clear" w:color="auto" w:fill="ffffff"/>
        </w:rPr>
        <w:t xml:space="preserve"> 2020</w:t>
      </w:r>
      <w:r>
        <w:rPr>
          <w:rFonts w:ascii="Times New Roman" w:cs="Times New Roman" w:hAnsi="Times New Roman"/>
          <w:color w:val="000000"/>
          <w:sz w:val="24"/>
          <w:szCs w:val="24"/>
        </w:rPr>
        <w:t xml:space="preserve">). UTIs are most of the time caused by bacteria accounting for over 95% of cases, nonetheless, microorganisms such as fungi, parasites and viruses can also cause UTIs (Arjunan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2010).</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Furthermore, UTIs have been classified as uncomplicated and complicated. Uncomplicated UTIs occur most of the time in healthy non gravid adult women, whereas complicated UTIs can be seen in different age and sex groups. Kidney failure, transplantation and calculi, indwelling catheters, compromised immunity and pregnancy have been implicated as risk factors to complicated UTI.(2, Najafabadi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2018 6 Lichtenberger &amp;  Hooton 2008). </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most common Gram-positive bacteria incriminated in UTIs are Staphylococcus aureus, Staphylococcus saprophyticus and Enterococcus species. (Mireles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2015). About 75%–95% of bacteria related UTIs are caused by E. coli (</w:t>
      </w:r>
      <w:r>
        <w:rPr>
          <w:rFonts w:ascii="Times New Roman" w:cs="Times New Roman" w:hAnsi="Times New Roman"/>
          <w:color w:val="000000"/>
          <w:sz w:val="24"/>
          <w:szCs w:val="24"/>
          <w:shd w:val="clear" w:color="auto" w:fill="ffffff"/>
        </w:rPr>
        <w:t xml:space="preserve">Muhammad </w:t>
      </w:r>
      <w:r>
        <w:rPr>
          <w:rFonts w:ascii="Times New Roman" w:cs="Times New Roman" w:hAnsi="Times New Roman"/>
          <w:i/>
          <w:color w:val="000000"/>
          <w:sz w:val="24"/>
          <w:szCs w:val="24"/>
          <w:shd w:val="clear" w:color="auto" w:fill="ffffff"/>
        </w:rPr>
        <w:t>et al.,</w:t>
      </w:r>
      <w:r>
        <w:rPr>
          <w:rFonts w:ascii="Times New Roman" w:cs="Times New Roman" w:hAnsi="Times New Roman"/>
          <w:color w:val="000000"/>
          <w:sz w:val="24"/>
          <w:szCs w:val="24"/>
          <w:shd w:val="clear" w:color="auto" w:fill="ffffff"/>
        </w:rPr>
        <w:t xml:space="preserve"> 2020</w:t>
      </w:r>
      <w:r>
        <w:rPr>
          <w:rFonts w:ascii="Times New Roman" w:cs="Times New Roman" w:hAnsi="Times New Roman"/>
          <w:color w:val="000000"/>
          <w:sz w:val="24"/>
          <w:szCs w:val="24"/>
        </w:rPr>
        <w:t xml:space="preserve">). Various antibiotics have been used effectively in the management of UTIs, however, a rising degree of frequently changing and alarming multidrug – resistant (MDR) UTI causing agents has been recorded globally over the past years due to indiscriminate use of antibiotics and their availability over the counter. (10, Prah et al., 2019). 11 Spellberg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2013). This increase in MDR bacterial strain has been the cause of UTI related morbidity and mortality. Therefore, it is very crucial to overcome the indiscriminate use of antibiotics, in order to prevent multidrug resistance. </w:t>
      </w:r>
      <w:r>
        <w:rPr>
          <w:rFonts w:ascii="Times New Roman" w:cs="Times New Roman" w:hAnsi="Times New Roman"/>
          <w:b/>
          <w:color w:val="000000"/>
          <w:sz w:val="24"/>
          <w:szCs w:val="24"/>
        </w:rPr>
        <w:t>Varied</w:t>
      </w:r>
      <w:r>
        <w:rPr>
          <w:rFonts w:ascii="Times New Roman" w:cs="Times New Roman" w:hAnsi="Times New Roman"/>
          <w:color w:val="000000"/>
          <w:sz w:val="24"/>
          <w:szCs w:val="24"/>
        </w:rPr>
        <w:t xml:space="preserve"> patterns </w:t>
      </w:r>
      <w:r>
        <w:rPr>
          <w:rFonts w:ascii="Times New Roman" w:cs="Times New Roman" w:hAnsi="Times New Roman"/>
          <w:color w:val="000000"/>
          <w:sz w:val="24"/>
          <w:szCs w:val="24"/>
        </w:rPr>
        <w:t>of bacterial antibiotic susceptibility have been observed among different hospitals within different geographical zones [13]. Generally, broad-spectrum antibiotics are used for empirical treatment, nonetheless, the infectious Disease Society of America recommends a regular regional study to identify variations in antibiotic susceptibility patterns, (14) in order to inform appropriate antibiotic selection for empirical treatment in each region. This practice will support prevention of the emergence of antimicrobial resistance. There is no report on the common uropathogens isolated and their antibiotics susceptibility profile at Federal Medical Centre</w:t>
      </w:r>
      <w:r>
        <w:rPr>
          <w:rFonts w:ascii="Times New Roman" w:cs="Times New Roman" w:hAnsi="Times New Roman"/>
          <w:color w:val="000000"/>
          <w:sz w:val="24"/>
          <w:szCs w:val="24"/>
        </w:rPr>
        <w:t>, Asaba</w:t>
      </w:r>
      <w:r>
        <w:rPr>
          <w:rFonts w:ascii="Times New Roman" w:cs="Times New Roman" w:hAnsi="Times New Roman"/>
          <w:color w:val="000000"/>
          <w:sz w:val="24"/>
          <w:szCs w:val="24"/>
        </w:rPr>
        <w:t>. Hence, this study aimed to determine the incidence of UTI – Causing agents and their antibiotics susceptibility pattern among subjects who attended FMC, Asaba for a selected period of time.</w:t>
      </w:r>
    </w:p>
    <w:p>
      <w:pPr>
        <w:pStyle w:val="style0"/>
        <w:autoSpaceDE w:val="false"/>
        <w:autoSpaceDN w:val="false"/>
        <w:adjustRightInd w:val="false"/>
        <w:spacing w:before="240" w:after="0" w:lineRule="auto" w:line="240"/>
        <w:jc w:val="both"/>
        <w:rPr>
          <w:rFonts w:ascii="Times New Roman" w:cs="Times New Roman" w:hAnsi="Times New Roman"/>
          <w:color w:val="000000"/>
          <w:sz w:val="24"/>
          <w:szCs w:val="24"/>
        </w:rPr>
      </w:pPr>
    </w:p>
    <w:p>
      <w:pPr>
        <w:pStyle w:val="style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2.0 Materials and methods</w:t>
      </w:r>
    </w:p>
    <w:p>
      <w:pPr>
        <w:pStyle w:val="style0"/>
        <w:jc w:val="both"/>
        <w:rPr>
          <w:rFonts w:ascii="Times New Roman" w:cs="Times New Roman" w:hAnsi="Times New Roman"/>
          <w:b/>
          <w:color w:val="000000"/>
          <w:sz w:val="24"/>
          <w:szCs w:val="24"/>
        </w:rPr>
      </w:pPr>
      <w:r>
        <w:rPr>
          <w:rFonts w:ascii="Times New Roman" w:cs="Times New Roman" w:hAnsi="Times New Roman"/>
          <w:b/>
          <w:color w:val="000000"/>
          <w:sz w:val="24"/>
          <w:szCs w:val="24"/>
        </w:rPr>
        <w:t>2.1 Study Area</w:t>
      </w:r>
    </w:p>
    <w:p>
      <w:pPr>
        <w:pStyle w:val="style0"/>
        <w:jc w:val="both"/>
        <w:rPr>
          <w:rFonts w:ascii="Times New Roman" w:cs="Times New Roman" w:hAnsi="Times New Roman"/>
          <w:b/>
          <w:color w:val="000000"/>
          <w:sz w:val="24"/>
          <w:szCs w:val="24"/>
        </w:rPr>
      </w:pPr>
      <w:r>
        <w:rPr>
          <w:rFonts w:ascii="Times New Roman" w:cs="Times New Roman" w:hAnsi="Times New Roman"/>
          <w:color w:val="000000"/>
          <w:sz w:val="24"/>
          <w:szCs w:val="24"/>
        </w:rPr>
        <w:t>The study sites for this work is Federal Medical Centre (FMC), Asaba Delta State. Federal Medical Centre, Asaba is situated in the central Area of Asaba metropolis, the capital city of Delta State. The hospital is a tertiary health institution, a research and referral centre for the whole of the state capital territory and neighborin</w:t>
      </w:r>
      <w:r>
        <w:rPr>
          <w:rFonts w:ascii="Times New Roman" w:cs="Times New Roman" w:hAnsi="Times New Roman"/>
          <w:color w:val="000000"/>
          <w:sz w:val="24"/>
          <w:szCs w:val="24"/>
        </w:rPr>
        <w:t xml:space="preserve">g towns like </w:t>
      </w:r>
      <w:r>
        <w:rPr>
          <w:rFonts w:ascii="Times New Roman" w:cs="Times New Roman" w:hAnsi="Times New Roman"/>
          <w:color w:val="000000"/>
          <w:sz w:val="24"/>
          <w:szCs w:val="24"/>
        </w:rPr>
        <w:t>Ibusa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Iseleukwu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O</w:t>
      </w:r>
      <w:r>
        <w:rPr>
          <w:rFonts w:ascii="Times New Roman" w:cs="Times New Roman" w:hAnsi="Times New Roman"/>
          <w:color w:val="000000"/>
          <w:sz w:val="24"/>
          <w:szCs w:val="24"/>
        </w:rPr>
        <w:t>gwashiuku</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Onicha</w:t>
      </w:r>
      <w:r>
        <w:rPr>
          <w:rFonts w:ascii="Times New Roman" w:cs="Times New Roman" w:hAnsi="Times New Roman"/>
          <w:color w:val="000000"/>
          <w:sz w:val="24"/>
          <w:szCs w:val="24"/>
        </w:rPr>
        <w:t xml:space="preserve"> – </w:t>
      </w:r>
      <w:r>
        <w:rPr>
          <w:rFonts w:ascii="Times New Roman" w:cs="Times New Roman" w:hAnsi="Times New Roman"/>
          <w:color w:val="000000"/>
          <w:sz w:val="24"/>
          <w:szCs w:val="24"/>
        </w:rPr>
        <w:t>Ugbo</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onicha</w:t>
      </w:r>
      <w:r>
        <w:rPr>
          <w:rFonts w:ascii="Times New Roman" w:cs="Times New Roman" w:hAnsi="Times New Roman"/>
          <w:color w:val="000000"/>
          <w:sz w:val="24"/>
          <w:szCs w:val="24"/>
        </w:rPr>
        <w:t xml:space="preserve"> – </w:t>
      </w:r>
      <w:r>
        <w:rPr>
          <w:rFonts w:ascii="Times New Roman" w:cs="Times New Roman" w:hAnsi="Times New Roman"/>
          <w:color w:val="000000"/>
          <w:sz w:val="24"/>
          <w:szCs w:val="24"/>
        </w:rPr>
        <w:t>olona</w:t>
      </w:r>
      <w:r>
        <w:rPr>
          <w:rFonts w:ascii="Times New Roman" w:cs="Times New Roman" w:hAnsi="Times New Roman"/>
          <w:color w:val="000000"/>
          <w:sz w:val="24"/>
          <w:szCs w:val="24"/>
        </w:rPr>
        <w:t xml:space="preserve">, Agbor etc. Federal Medical centre Asaba also serve parts of some neighboring states like Edo and Anambra states including the largest commercial city of South Eastern Nigeria, Onitsha with the largest market in West Africa. The hospital is located in the South South Geo-political zone of Nigeria. It </w:t>
      </w:r>
      <w:r>
        <w:rPr>
          <w:rFonts w:ascii="Times New Roman" w:cs="Times New Roman" w:hAnsi="Times New Roman"/>
          <w:color w:val="000000"/>
          <w:sz w:val="24"/>
          <w:szCs w:val="24"/>
          <w:shd w:val="clear" w:color="auto" w:fill="ffffff"/>
        </w:rPr>
        <w:t xml:space="preserve">was established on 12th August 1998 as a consequence of the Federal Government of Nigeria policy to setup a Federal Medical </w:t>
      </w:r>
      <w:r>
        <w:rPr>
          <w:rFonts w:ascii="Times New Roman" w:cs="Times New Roman" w:hAnsi="Times New Roman"/>
          <w:color w:val="000000"/>
          <w:sz w:val="24"/>
          <w:szCs w:val="24"/>
          <w:shd w:val="clear" w:color="auto" w:fill="ffffff"/>
        </w:rPr>
        <w:t>Centre in states where a Federal Teaching Hospital is non-existent. The institution took over its current site from the central hospital. Asaba established in 1991 (after the creation of Delta state) which itself metamorphosed from the colonial cottage \hospital of the Mid-Western region established in March, 1962 with a thirty bed complement.</w:t>
      </w:r>
      <w:r>
        <w:rPr>
          <w:rFonts w:ascii="Times New Roman" w:cs="Times New Roman" w:hAnsi="Times New Roman"/>
          <w:color w:val="000000"/>
          <w:sz w:val="24"/>
          <w:szCs w:val="24"/>
        </w:rPr>
        <w:br/>
      </w:r>
      <w:r>
        <w:rPr>
          <w:rFonts w:ascii="Times New Roman" w:cs="Times New Roman" w:hAnsi="Times New Roman"/>
          <w:color w:val="000000"/>
          <w:sz w:val="24"/>
          <w:szCs w:val="24"/>
        </w:rPr>
        <w:t xml:space="preserve"> FMC, Asaba has since grown tremendously with bed capacity of about two hundred and seventy, about fifteen clinical departments including Obstetrics and Gynaecology, Medicine, Surgery,  Ophthalmology, Paediatrics, Medical laboratory Services  etc</w:t>
      </w:r>
    </w:p>
    <w:p>
      <w:pPr>
        <w:pStyle w:val="style4099"/>
        <w:spacing w:after="0"/>
        <w:rPr>
          <w:rFonts w:ascii="Times New Roman" w:eastAsia="Calibri" w:hAnsi="Times New Roman"/>
          <w:b/>
          <w:bCs/>
          <w:color w:val="000000"/>
          <w:sz w:val="24"/>
          <w:szCs w:val="24"/>
        </w:rPr>
      </w:pPr>
      <w:r>
        <w:rPr>
          <w:rFonts w:ascii="Times New Roman" w:eastAsia="Calibri" w:hAnsi="Times New Roman"/>
          <w:b/>
          <w:bCs/>
          <w:color w:val="000000"/>
          <w:sz w:val="24"/>
          <w:szCs w:val="24"/>
        </w:rPr>
        <w:t xml:space="preserve">2.2 Study Population </w:t>
      </w:r>
    </w:p>
    <w:p>
      <w:pPr>
        <w:pStyle w:val="style4099"/>
        <w:spacing w:after="0"/>
        <w:rPr>
          <w:rFonts w:ascii="Times New Roman" w:eastAsia="Calibri" w:hAnsi="Times New Roman"/>
          <w:bCs/>
          <w:color w:val="000000"/>
          <w:sz w:val="24"/>
          <w:szCs w:val="24"/>
        </w:rPr>
      </w:pPr>
      <w:r>
        <w:rPr>
          <w:rFonts w:ascii="Times New Roman" w:eastAsia="Calibri" w:hAnsi="Times New Roman"/>
          <w:bCs/>
          <w:color w:val="000000"/>
          <w:sz w:val="24"/>
          <w:szCs w:val="24"/>
        </w:rPr>
        <w:t xml:space="preserve">All the individuals tested for urine microscopy, culture and sensitivity from </w:t>
      </w:r>
      <w:r>
        <w:rPr>
          <w:rFonts w:ascii="Times New Roman" w:eastAsia="Calibri" w:hAnsi="Times New Roman"/>
          <w:bCs/>
          <w:color w:val="000000"/>
          <w:sz w:val="24"/>
          <w:szCs w:val="24"/>
        </w:rPr>
        <w:t>Ist</w:t>
      </w:r>
      <w:r>
        <w:rPr>
          <w:rFonts w:ascii="Times New Roman" w:eastAsia="Calibri" w:hAnsi="Times New Roman"/>
          <w:bCs/>
          <w:color w:val="000000"/>
          <w:sz w:val="24"/>
          <w:szCs w:val="24"/>
        </w:rPr>
        <w:t xml:space="preserve"> January 2019 to 31</w:t>
      </w:r>
      <w:r>
        <w:rPr>
          <w:rFonts w:ascii="Times New Roman" w:eastAsia="Calibri" w:hAnsi="Times New Roman"/>
          <w:bCs/>
          <w:color w:val="000000"/>
          <w:sz w:val="24"/>
          <w:szCs w:val="24"/>
          <w:vertAlign w:val="superscript"/>
        </w:rPr>
        <w:t>st</w:t>
      </w:r>
      <w:r>
        <w:rPr>
          <w:rFonts w:ascii="Times New Roman" w:eastAsia="Calibri" w:hAnsi="Times New Roman"/>
          <w:bCs/>
          <w:color w:val="000000"/>
          <w:sz w:val="24"/>
          <w:szCs w:val="24"/>
        </w:rPr>
        <w:t xml:space="preserve"> December 2022</w:t>
      </w:r>
      <w:r>
        <w:rPr>
          <w:rFonts w:ascii="Times New Roman" w:eastAsia="Calibri" w:hAnsi="Times New Roman"/>
          <w:bCs/>
          <w:color w:val="000000"/>
          <w:sz w:val="24"/>
          <w:szCs w:val="24"/>
        </w:rPr>
        <w:t>.</w:t>
      </w:r>
      <w:r>
        <w:rPr>
          <w:rFonts w:ascii="Times New Roman" w:eastAsia="Calibri" w:hAnsi="Times New Roman"/>
          <w:bCs/>
          <w:color w:val="000000"/>
          <w:sz w:val="24"/>
          <w:szCs w:val="24"/>
        </w:rPr>
        <w:t xml:space="preserve"> </w:t>
      </w:r>
    </w:p>
    <w:p>
      <w:pPr>
        <w:pStyle w:val="style4099"/>
        <w:spacing w:after="0"/>
        <w:rPr>
          <w:rFonts w:ascii="Times New Roman" w:eastAsia="Calibri" w:hAnsi="Times New Roman"/>
          <w:color w:val="000000"/>
          <w:sz w:val="24"/>
          <w:szCs w:val="24"/>
        </w:rPr>
      </w:pPr>
    </w:p>
    <w:p>
      <w:pPr>
        <w:pStyle w:val="style4099"/>
        <w:spacing w:after="0"/>
        <w:rPr>
          <w:rFonts w:ascii="Times New Roman" w:eastAsia="Calibri" w:hAnsi="Times New Roman"/>
          <w:b/>
          <w:color w:val="000000"/>
          <w:sz w:val="24"/>
          <w:szCs w:val="24"/>
        </w:rPr>
      </w:pPr>
      <w:r>
        <w:rPr>
          <w:rFonts w:ascii="Times New Roman" w:eastAsia="Calibri" w:hAnsi="Times New Roman"/>
          <w:b/>
          <w:color w:val="000000"/>
          <w:sz w:val="24"/>
          <w:szCs w:val="24"/>
        </w:rPr>
        <w:t>2.3 Sample Size Determination</w:t>
      </w:r>
    </w:p>
    <w:p>
      <w:pPr>
        <w:pStyle w:val="style4099"/>
        <w:spacing w:after="0"/>
        <w:rPr>
          <w:rFonts w:ascii="Times New Roman" w:eastAsia="Calibri" w:hAnsi="Times New Roman"/>
          <w:color w:val="000000"/>
          <w:sz w:val="24"/>
          <w:szCs w:val="24"/>
        </w:rPr>
      </w:pPr>
      <w:r>
        <w:rPr>
          <w:rFonts w:ascii="Times New Roman" w:eastAsia="Calibri" w:hAnsi="Times New Roman"/>
          <w:color w:val="000000"/>
          <w:sz w:val="24"/>
          <w:szCs w:val="24"/>
        </w:rPr>
        <w:t xml:space="preserve">All the subjects tested for Urine microscopy, culture and sensitivity within the period reviewed </w:t>
      </w:r>
      <w:r>
        <w:rPr>
          <w:rFonts w:ascii="Times New Roman" w:eastAsia="Calibri" w:hAnsi="Times New Roman"/>
          <w:color w:val="000000"/>
          <w:sz w:val="24"/>
          <w:szCs w:val="24"/>
        </w:rPr>
        <w:t xml:space="preserve">who had complete data </w:t>
      </w:r>
      <w:r>
        <w:rPr>
          <w:rFonts w:ascii="Times New Roman" w:eastAsia="Calibri" w:hAnsi="Times New Roman"/>
          <w:color w:val="000000"/>
          <w:sz w:val="24"/>
          <w:szCs w:val="24"/>
        </w:rPr>
        <w:t>were inclu</w:t>
      </w:r>
      <w:r>
        <w:rPr>
          <w:rFonts w:ascii="Times New Roman" w:eastAsia="Calibri" w:hAnsi="Times New Roman"/>
          <w:color w:val="000000"/>
          <w:sz w:val="24"/>
          <w:szCs w:val="24"/>
        </w:rPr>
        <w:t>ded in the study.</w:t>
      </w:r>
    </w:p>
    <w:p>
      <w:pPr>
        <w:pStyle w:val="style4099"/>
        <w:spacing w:after="0"/>
        <w:rPr>
          <w:rFonts w:ascii="Times New Roman" w:eastAsia="Calibri" w:hAnsi="Times New Roman"/>
          <w:color w:val="000000"/>
          <w:sz w:val="24"/>
          <w:szCs w:val="24"/>
        </w:rPr>
      </w:pPr>
      <w:r>
        <w:rPr>
          <w:rFonts w:ascii="Times New Roman" w:eastAsia="Calibri" w:hAnsi="Times New Roman"/>
          <w:color w:val="000000"/>
          <w:sz w:val="24"/>
          <w:szCs w:val="24"/>
        </w:rPr>
        <w:t xml:space="preserve"> </w:t>
      </w:r>
    </w:p>
    <w:p>
      <w:pPr>
        <w:pStyle w:val="style4099"/>
        <w:rPr>
          <w:rFonts w:ascii="Times New Roman" w:eastAsia="Calibri" w:hAnsi="Times New Roman"/>
          <w:b/>
          <w:color w:val="000000"/>
          <w:sz w:val="24"/>
          <w:szCs w:val="24"/>
        </w:rPr>
      </w:pPr>
      <w:r>
        <w:rPr>
          <w:rFonts w:ascii="Times New Roman" w:eastAsia="Calibri" w:hAnsi="Times New Roman"/>
          <w:b/>
          <w:color w:val="000000"/>
          <w:sz w:val="24"/>
          <w:szCs w:val="24"/>
        </w:rPr>
        <w:t>2.4 Data Collection</w:t>
      </w:r>
    </w:p>
    <w:p>
      <w:pPr>
        <w:pStyle w:val="style4099"/>
        <w:rPr>
          <w:rFonts w:ascii="Times New Roman" w:eastAsia="Calibri" w:hAnsi="Times New Roman"/>
          <w:b/>
          <w:color w:val="000000"/>
          <w:sz w:val="24"/>
          <w:szCs w:val="24"/>
        </w:rPr>
      </w:pPr>
      <w:r>
        <w:rPr>
          <w:rFonts w:ascii="Times New Roman" w:eastAsia="Calibri" w:hAnsi="Times New Roman"/>
          <w:color w:val="000000"/>
          <w:sz w:val="24"/>
          <w:szCs w:val="24"/>
        </w:rPr>
        <w:t xml:space="preserve">All the urine microscopy, culture and sensitivity results </w:t>
      </w:r>
      <w:r>
        <w:rPr>
          <w:rFonts w:ascii="Times New Roman" w:eastAsia="Calibri" w:hAnsi="Times New Roman"/>
          <w:color w:val="000000"/>
          <w:sz w:val="24"/>
          <w:szCs w:val="24"/>
        </w:rPr>
        <w:t xml:space="preserve">for the years under review </w:t>
      </w:r>
      <w:r>
        <w:rPr>
          <w:rFonts w:ascii="Times New Roman" w:eastAsia="Calibri" w:hAnsi="Times New Roman"/>
          <w:color w:val="000000"/>
          <w:sz w:val="24"/>
          <w:szCs w:val="24"/>
        </w:rPr>
        <w:t xml:space="preserve">from the </w:t>
      </w:r>
      <w:r>
        <w:rPr>
          <w:rFonts w:ascii="Times New Roman" w:eastAsia="Calibri" w:hAnsi="Times New Roman"/>
          <w:color w:val="000000"/>
          <w:sz w:val="24"/>
          <w:szCs w:val="24"/>
        </w:rPr>
        <w:t xml:space="preserve">records of </w:t>
      </w:r>
      <w:r>
        <w:rPr>
          <w:rFonts w:ascii="Times New Roman" w:eastAsia="Calibri" w:hAnsi="Times New Roman"/>
          <w:color w:val="000000"/>
          <w:sz w:val="24"/>
          <w:szCs w:val="24"/>
        </w:rPr>
        <w:t>Medical Laboratory Service department of Federal Medical Centre Asaba</w:t>
      </w:r>
      <w:r>
        <w:rPr>
          <w:rFonts w:ascii="Times New Roman" w:eastAsia="Calibri" w:hAnsi="Times New Roman"/>
          <w:color w:val="000000"/>
          <w:sz w:val="24"/>
          <w:szCs w:val="24"/>
        </w:rPr>
        <w:t xml:space="preserve"> were collected.</w:t>
      </w:r>
      <w:r>
        <w:rPr>
          <w:rFonts w:ascii="Times New Roman" w:eastAsia="Calibri" w:hAnsi="Times New Roman"/>
          <w:b/>
          <w:color w:val="000000"/>
          <w:sz w:val="24"/>
          <w:szCs w:val="24"/>
        </w:rPr>
        <w:t xml:space="preserve"> </w:t>
      </w:r>
    </w:p>
    <w:p>
      <w:pPr>
        <w:pStyle w:val="style4099"/>
        <w:rPr>
          <w:rFonts w:ascii="Times New Roman" w:eastAsia="Calibri" w:hAnsi="Times New Roman"/>
          <w:b/>
          <w:color w:val="000000"/>
          <w:sz w:val="24"/>
          <w:szCs w:val="24"/>
        </w:rPr>
      </w:pPr>
    </w:p>
    <w:p>
      <w:pPr>
        <w:pStyle w:val="style4099"/>
        <w:spacing w:after="0"/>
        <w:rPr>
          <w:rFonts w:ascii="Times New Roman" w:eastAsia="Calibri" w:hAnsi="Times New Roman"/>
          <w:b/>
          <w:sz w:val="24"/>
          <w:szCs w:val="24"/>
        </w:rPr>
      </w:pPr>
      <w:r>
        <w:rPr>
          <w:rFonts w:ascii="Times New Roman" w:eastAsia="Calibri" w:hAnsi="Times New Roman"/>
          <w:b/>
          <w:sz w:val="24"/>
          <w:szCs w:val="24"/>
        </w:rPr>
        <w:t>2.5</w:t>
      </w:r>
      <w:r>
        <w:rPr>
          <w:rFonts w:ascii="Times New Roman" w:eastAsia="Calibri" w:hAnsi="Times New Roman"/>
          <w:b/>
          <w:sz w:val="24"/>
          <w:szCs w:val="24"/>
        </w:rPr>
        <w:t xml:space="preserve"> Data Analysis</w:t>
      </w:r>
    </w:p>
    <w:p>
      <w:pPr>
        <w:pStyle w:val="style4099"/>
        <w:spacing w:after="0"/>
        <w:rPr>
          <w:rFonts w:ascii="Times New Roman" w:eastAsia="Calibri" w:hAnsi="Times New Roman"/>
          <w:sz w:val="24"/>
          <w:szCs w:val="24"/>
        </w:rPr>
      </w:pPr>
      <w:r>
        <w:rPr>
          <w:rFonts w:ascii="Times New Roman" w:eastAsia="Calibri" w:hAnsi="Times New Roman"/>
          <w:sz w:val="24"/>
          <w:szCs w:val="24"/>
        </w:rPr>
        <w:t xml:space="preserve">SPSS version 26 was used in analyzing the data. </w:t>
      </w:r>
      <w:r>
        <w:t>Data were analyzed using Frequency tables,</w:t>
      </w:r>
      <w:r>
        <w:t xml:space="preserve"> </w:t>
      </w:r>
      <w:r>
        <w:t>Chi-Square t</w:t>
      </w:r>
      <w:r>
        <w:t>est and</w:t>
      </w:r>
      <w:r>
        <w:t xml:space="preserve"> t-test</w:t>
      </w:r>
      <w:r>
        <w:t xml:space="preserve"> The statistical significance was set at p &lt; 0.05.</w:t>
      </w: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pPr>
    </w:p>
    <w:p>
      <w:pPr>
        <w:pStyle w:val="style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3. R</w:t>
      </w:r>
      <w:r>
        <w:rPr>
          <w:rFonts w:ascii="Times New Roman" w:cs="Times New Roman" w:hAnsi="Times New Roman"/>
          <w:b/>
          <w:bCs/>
          <w:color w:val="000000"/>
          <w:sz w:val="24"/>
          <w:szCs w:val="24"/>
        </w:rPr>
        <w:t>esults and discussion</w:t>
      </w: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Table 1:  D</w:t>
      </w:r>
      <w:r>
        <w:rPr>
          <w:rFonts w:ascii="Times New Roman" w:cs="Times New Roman" w:hAnsi="Times New Roman"/>
          <w:color w:val="000000"/>
          <w:sz w:val="24"/>
          <w:szCs w:val="24"/>
        </w:rPr>
        <w:t>ata of bacterial species isolated from urine culture</w:t>
      </w:r>
    </w:p>
    <w:tbl>
      <w:tblPr>
        <w:tblStyle w:val="style154"/>
        <w:tblW w:w="0" w:type="auto"/>
        <w:tblInd w:w="-5" w:type="dxa"/>
        <w:tblLayout w:type="fixed"/>
        <w:tblLook w:val="04A0" w:firstRow="1" w:lastRow="0" w:firstColumn="1" w:lastColumn="0" w:noHBand="0" w:noVBand="1"/>
      </w:tblPr>
      <w:tblGrid>
        <w:gridCol w:w="1647"/>
        <w:gridCol w:w="1333"/>
        <w:gridCol w:w="1335"/>
      </w:tblGrid>
      <w:tr>
        <w:trPr>
          <w:trHeight w:val="350" w:hRule="atLeast"/>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Bacteria</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Frequency (n= 2113)</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Percentage (%)</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 aureus</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907</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42.9</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E.coli</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866</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41.9</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Klebsiella spp</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232</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11.0</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kern w:val="0"/>
                <w:sz w:val="24"/>
                <w:szCs w:val="24"/>
              </w:rPr>
              <w:t>Pseudomonas aeruginosa</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54</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2.6</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Proteus.spp</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1.4</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Strep.spp</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0.1</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Pantoea spp</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 mirabis</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p>
        </w:tc>
      </w:tr>
      <w:tr>
        <w:tblPrEx/>
        <w:trPr/>
        <w:tc>
          <w:tcPr>
            <w:tcW w:w="1647"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33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2113</w:t>
            </w:r>
          </w:p>
        </w:tc>
        <w:tc>
          <w:tcPr>
            <w:tcW w:w="133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100</w:t>
            </w:r>
          </w:p>
        </w:tc>
      </w:tr>
    </w:tbl>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As shown in table 1, results of a total of 2113 subjects were reviewed over the period studied. Organisms isolated from these individuals include; Staphlococccus  aureus 907 (42.9%), E. coli 866 (41.9%), Klebsiella spp 232 (11.0%), P. aeruginosa54 (2.6%), Proteus spp 30 (1.4%), Strep. Spp 2 (0.1%), Pantoea spp 1 and P. mirabis 1. </w:t>
      </w: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As shown in table 2 and fig 1, majority of the organisms isolated were significantly higher in females (P = 0.009) than in males. S. aureus was isolated in 622 females and 285 males, E, coli 592 females, 294 males, Klebsiella spp 170 females, 62 males, P. aeruginosa 25 females, 29 males, Proteus spp 17 females, 13 males, strep spp 2 females, Pantoea spp and P. mirabis 1 female each.</w:t>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Table 2: Distribution of bacteria </w:t>
      </w:r>
      <w:r>
        <w:rPr>
          <w:rFonts w:ascii="Times New Roman" w:cs="Times New Roman" w:hAnsi="Times New Roman"/>
          <w:color w:val="000000"/>
          <w:sz w:val="24"/>
          <w:szCs w:val="24"/>
        </w:rPr>
        <w:t>Spp</w:t>
      </w:r>
      <w:r>
        <w:rPr>
          <w:rFonts w:ascii="Times New Roman" w:cs="Times New Roman" w:hAnsi="Times New Roman"/>
          <w:color w:val="000000"/>
          <w:sz w:val="24"/>
          <w:szCs w:val="24"/>
        </w:rPr>
        <w:t xml:space="preserve"> according to g</w:t>
      </w:r>
      <w:r>
        <w:rPr>
          <w:rFonts w:ascii="Times New Roman" w:cs="Times New Roman" w:hAnsi="Times New Roman"/>
          <w:color w:val="000000"/>
          <w:sz w:val="24"/>
          <w:szCs w:val="24"/>
        </w:rPr>
        <w:t>ender</w:t>
      </w:r>
    </w:p>
    <w:p>
      <w:pPr>
        <w:pStyle w:val="style0"/>
        <w:jc w:val="both"/>
        <w:rPr>
          <w:rFonts w:ascii="Times New Roman" w:cs="Times New Roman" w:hAnsi="Times New Roman"/>
          <w:color w:val="000000"/>
          <w:sz w:val="24"/>
          <w:szCs w:val="24"/>
        </w:rPr>
      </w:pPr>
    </w:p>
    <w:bookmarkStart w:id="0" w:name="_Hlk161836206"/>
    <w:tbl>
      <w:tblPr>
        <w:tblStyle w:val="style154"/>
        <w:tblW w:w="0" w:type="auto"/>
        <w:tblInd w:w="-275" w:type="dxa"/>
        <w:tblLayout w:type="fixed"/>
        <w:tblLook w:val="04A0" w:firstRow="1" w:lastRow="0" w:firstColumn="1" w:lastColumn="0" w:noHBand="0" w:noVBand="1"/>
      </w:tblPr>
      <w:tblGrid>
        <w:gridCol w:w="1285"/>
        <w:gridCol w:w="994"/>
        <w:gridCol w:w="994"/>
        <w:gridCol w:w="556"/>
        <w:gridCol w:w="756"/>
      </w:tblGrid>
      <w:tr>
        <w:trPr>
          <w:trHeight w:val="350" w:hRule="atLeast"/>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Bacteria</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Male (n= 683)</w:t>
            </w:r>
            <w:r>
              <w:rPr>
                <w:rFonts w:ascii="Times New Roman" w:cs="Times New Roman" w:hAnsi="Times New Roman"/>
                <w:color w:val="000000"/>
                <w:sz w:val="24"/>
                <w:szCs w:val="24"/>
              </w:rPr>
              <w:t xml:space="preserve"> 33.3%</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Female n= (1430)</w:t>
            </w:r>
          </w:p>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66.7%</w:t>
            </w:r>
          </w:p>
        </w:tc>
        <w:tc>
          <w:tcPr>
            <w:tcW w:w="556"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X²</w:t>
            </w:r>
          </w:p>
        </w:tc>
        <w:tc>
          <w:tcPr>
            <w:tcW w:w="756"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p-value</w:t>
            </w: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 aureus</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285(31%)</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622(69%)</w:t>
            </w:r>
          </w:p>
        </w:tc>
        <w:tc>
          <w:tcPr>
            <w:tcW w:w="556" w:type="dxa"/>
            <w:vMerge w:val="restart"/>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18.8</w:t>
            </w:r>
          </w:p>
        </w:tc>
        <w:tc>
          <w:tcPr>
            <w:tcW w:w="756" w:type="dxa"/>
            <w:vMerge w:val="restart"/>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0.009٭</w:t>
            </w: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E.coli</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294(34%)</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592(66%)</w:t>
            </w:r>
          </w:p>
        </w:tc>
        <w:tc>
          <w:tcPr>
            <w:tcW w:w="556"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756"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Klebsiella spp</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62(27%)</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170(73%)</w:t>
            </w:r>
          </w:p>
        </w:tc>
        <w:tc>
          <w:tcPr>
            <w:tcW w:w="556"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756"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kern w:val="0"/>
                <w:sz w:val="24"/>
                <w:szCs w:val="24"/>
              </w:rPr>
              <w:t>Pseudomonas aeruginosa</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29</w:t>
            </w:r>
            <w:r>
              <w:rPr>
                <w:rFonts w:ascii="Times New Roman" w:cs="Times New Roman" w:hAnsi="Times New Roman"/>
                <w:color w:val="000000"/>
                <w:sz w:val="24"/>
                <w:szCs w:val="24"/>
              </w:rPr>
              <w:t>(53.7%)</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25</w:t>
            </w:r>
            <w:r>
              <w:rPr>
                <w:rFonts w:ascii="Times New Roman" w:cs="Times New Roman" w:hAnsi="Times New Roman"/>
                <w:color w:val="000000"/>
                <w:sz w:val="24"/>
                <w:szCs w:val="24"/>
              </w:rPr>
              <w:t>(46.3%)</w:t>
            </w:r>
          </w:p>
        </w:tc>
        <w:tc>
          <w:tcPr>
            <w:tcW w:w="556"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756"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Proteus.spp</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13</w:t>
            </w:r>
            <w:r>
              <w:rPr>
                <w:rFonts w:ascii="Times New Roman" w:cs="Times New Roman" w:hAnsi="Times New Roman"/>
                <w:color w:val="000000"/>
                <w:sz w:val="24"/>
                <w:szCs w:val="24"/>
              </w:rPr>
              <w:t>(43.3%)</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17</w:t>
            </w:r>
            <w:r>
              <w:rPr>
                <w:rFonts w:ascii="Times New Roman" w:cs="Times New Roman" w:hAnsi="Times New Roman"/>
                <w:color w:val="000000"/>
                <w:sz w:val="24"/>
                <w:szCs w:val="24"/>
              </w:rPr>
              <w:t>(56.7%)</w:t>
            </w:r>
          </w:p>
        </w:tc>
        <w:tc>
          <w:tcPr>
            <w:tcW w:w="556"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756"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Strep.spp</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 xml:space="preserve"> (0%)</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w:t>
            </w:r>
            <w:r>
              <w:rPr>
                <w:rFonts w:ascii="Times New Roman" w:cs="Times New Roman" w:hAnsi="Times New Roman"/>
                <w:color w:val="000000"/>
                <w:sz w:val="24"/>
                <w:szCs w:val="24"/>
              </w:rPr>
              <w:t>(0%)</w:t>
            </w:r>
          </w:p>
        </w:tc>
        <w:tc>
          <w:tcPr>
            <w:tcW w:w="556"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756"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Pantoea spp</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(0%)</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(0%)</w:t>
            </w:r>
          </w:p>
        </w:tc>
        <w:tc>
          <w:tcPr>
            <w:tcW w:w="556"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756"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1285"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 mirabis</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(0%)</w:t>
            </w:r>
          </w:p>
        </w:tc>
        <w:tc>
          <w:tcPr>
            <w:tcW w:w="99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(0%)</w:t>
            </w:r>
          </w:p>
        </w:tc>
        <w:tc>
          <w:tcPr>
            <w:tcW w:w="556"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756" w:type="dxa"/>
            <w:vMerge w:val="continue"/>
            <w:tcBorders/>
          </w:tcPr>
          <w:p>
            <w:pPr>
              <w:pStyle w:val="style0"/>
              <w:spacing w:after="0" w:lineRule="auto" w:line="240"/>
              <w:jc w:val="both"/>
              <w:rPr>
                <w:rFonts w:ascii="Times New Roman" w:cs="Times New Roman" w:hAnsi="Times New Roman"/>
                <w:color w:val="000000"/>
                <w:sz w:val="24"/>
                <w:szCs w:val="24"/>
              </w:rPr>
            </w:pPr>
          </w:p>
        </w:tc>
      </w:tr>
      <w:bookmarkEnd w:id="0"/>
    </w:tbl>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r>
        <w:rPr>
          <w:rFonts w:ascii="Times New Roman" w:cs="Times New Roman" w:hAnsi="Times New Roman"/>
          <w:noProof/>
          <w:color w:val="000000"/>
          <w:sz w:val="24"/>
          <w:szCs w:val="24"/>
        </w:rPr>
      </w:r>
      <w:r>
        <w:rPr>
          <w:rFonts w:ascii="Times New Roman" w:cs="Times New Roman" w:hAnsi="Times New Roman"/>
          <w:noProof/>
          <w:color w:val="000000"/>
          <w:sz w:val="24"/>
          <w:szCs w:val="24"/>
        </w:rPr>
      </w:r>
      <w:r>
        <w:rPr>
          <w:rFonts w:ascii="Times New Roman" w:cs="Times New Roman" w:hAnsi="Times New Roman"/>
          <w:noProof/>
          <w:color w:val="000000"/>
          <w:sz w:val="24"/>
          <w:szCs w:val="24"/>
        </w:rPr>
      </w:r>
      <w:r>
        <w:rPr>
          <w:rFonts w:ascii="Times New Roman" w:cs="Times New Roman" w:hAnsi="Times New Roman"/>
          <w:noProof/>
          <w:color w:val="000000"/>
          <w:sz w:val="24"/>
          <w:szCs w:val="24"/>
        </w:rPr>
        <w:drawing>
          <wp:inline distL="114300" distT="0" distB="0" distR="114300">
            <wp:extent cx="2857500" cy="235902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r>
        <w:rPr>
          <w:rFonts w:ascii="Times New Roman" w:cs="Times New Roman" w:hAnsi="Times New Roman"/>
          <w:noProof/>
          <w:color w:val="000000"/>
          <w:sz w:val="24"/>
          <w:szCs w:val="24"/>
        </w:rPr>
      </w: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F</w:t>
      </w:r>
      <w:r>
        <w:rPr>
          <w:rFonts w:ascii="Times New Roman" w:cs="Times New Roman" w:hAnsi="Times New Roman"/>
          <w:color w:val="000000"/>
          <w:sz w:val="24"/>
          <w:szCs w:val="24"/>
        </w:rPr>
        <w:t xml:space="preserve">ig. 1:  Distribution of bacteria </w:t>
      </w:r>
      <w:r>
        <w:rPr>
          <w:rFonts w:ascii="Times New Roman" w:cs="Times New Roman" w:hAnsi="Times New Roman"/>
          <w:color w:val="000000"/>
          <w:sz w:val="24"/>
          <w:szCs w:val="24"/>
        </w:rPr>
        <w:t>Spp</w:t>
      </w:r>
      <w:r>
        <w:rPr>
          <w:rFonts w:ascii="Times New Roman" w:cs="Times New Roman" w:hAnsi="Times New Roman"/>
          <w:color w:val="000000"/>
          <w:sz w:val="24"/>
          <w:szCs w:val="24"/>
        </w:rPr>
        <w:t xml:space="preserve"> according g</w:t>
      </w:r>
      <w:r>
        <w:rPr>
          <w:rFonts w:ascii="Times New Roman" w:cs="Times New Roman" w:hAnsi="Times New Roman"/>
          <w:color w:val="000000"/>
          <w:sz w:val="24"/>
          <w:szCs w:val="24"/>
        </w:rPr>
        <w:t>ender</w:t>
      </w:r>
    </w:p>
    <w:p>
      <w:pPr>
        <w:pStyle w:val="style0"/>
        <w:jc w:val="both"/>
        <w:rPr>
          <w:rFonts w:ascii="Times New Roman" w:cs="Times New Roman" w:hAnsi="Times New Roman"/>
          <w:color w:val="000000"/>
          <w:sz w:val="24"/>
          <w:szCs w:val="24"/>
        </w:rPr>
        <w:sectPr>
          <w:type w:val="continuous"/>
          <w:pgSz w:w="12240" w:h="15840" w:orient="portrait"/>
          <w:pgMar w:top="1440" w:right="1440" w:bottom="1440" w:left="1440" w:header="720" w:footer="720" w:gutter="0"/>
          <w:cols w:space="720" w:num="2"/>
          <w:docGrid w:linePitch="360"/>
        </w:sectPr>
      </w:pP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Table 3: Distribution of bacteria </w:t>
      </w:r>
      <w:r>
        <w:rPr>
          <w:rFonts w:ascii="Times New Roman" w:cs="Times New Roman" w:hAnsi="Times New Roman"/>
          <w:color w:val="000000"/>
          <w:sz w:val="24"/>
          <w:szCs w:val="24"/>
        </w:rPr>
        <w:t>Spp</w:t>
      </w:r>
      <w:r>
        <w:rPr>
          <w:rFonts w:ascii="Times New Roman" w:cs="Times New Roman" w:hAnsi="Times New Roman"/>
          <w:color w:val="000000"/>
          <w:sz w:val="24"/>
          <w:szCs w:val="24"/>
        </w:rPr>
        <w:t xml:space="preserve"> according to age</w:t>
      </w:r>
    </w:p>
    <w:tbl>
      <w:tblPr>
        <w:tblStyle w:val="style154"/>
        <w:tblW w:w="0" w:type="auto"/>
        <w:tblInd w:w="-545" w:type="dxa"/>
        <w:tblLayout w:type="fixed"/>
        <w:tblLook w:val="04A0" w:firstRow="1" w:lastRow="0" w:firstColumn="1" w:lastColumn="0" w:noHBand="0" w:noVBand="1"/>
      </w:tblPr>
      <w:tblGrid>
        <w:gridCol w:w="2340"/>
        <w:gridCol w:w="1260"/>
        <w:gridCol w:w="1710"/>
        <w:gridCol w:w="1800"/>
        <w:gridCol w:w="1028"/>
        <w:gridCol w:w="843"/>
        <w:gridCol w:w="914"/>
      </w:tblGrid>
      <w:tr>
        <w:trPr>
          <w:trHeight w:val="350" w:hRule="atLeast"/>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Bacteria</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≤18years</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19years-59years</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60years &amp;above</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843"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X²</w:t>
            </w:r>
          </w:p>
        </w:tc>
        <w:tc>
          <w:tcPr>
            <w:tcW w:w="914"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p-value</w:t>
            </w: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 aureus</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108</w:t>
            </w:r>
            <w:r>
              <w:rPr>
                <w:rFonts w:ascii="Times New Roman" w:cs="Times New Roman" w:hAnsi="Times New Roman"/>
                <w:color w:val="000000"/>
                <w:sz w:val="24"/>
                <w:szCs w:val="24"/>
              </w:rPr>
              <w:t xml:space="preserve"> (11.9%)</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653</w:t>
            </w:r>
            <w:r>
              <w:rPr>
                <w:rFonts w:ascii="Times New Roman" w:cs="Times New Roman" w:hAnsi="Times New Roman"/>
                <w:color w:val="000000"/>
                <w:sz w:val="24"/>
                <w:szCs w:val="24"/>
              </w:rPr>
              <w:t xml:space="preserve"> (72%)</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146</w:t>
            </w:r>
            <w:r>
              <w:rPr>
                <w:rFonts w:ascii="Times New Roman" w:cs="Times New Roman" w:hAnsi="Times New Roman"/>
                <w:color w:val="000000"/>
                <w:sz w:val="24"/>
                <w:szCs w:val="24"/>
              </w:rPr>
              <w:t>(16.1%)</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907</w:t>
            </w:r>
          </w:p>
        </w:tc>
        <w:tc>
          <w:tcPr>
            <w:tcW w:w="843" w:type="dxa"/>
            <w:vMerge w:val="restart"/>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75.6</w:t>
            </w:r>
          </w:p>
        </w:tc>
        <w:tc>
          <w:tcPr>
            <w:tcW w:w="914" w:type="dxa"/>
            <w:vMerge w:val="restart"/>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0.000٭</w:t>
            </w: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E.coli</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78</w:t>
            </w:r>
            <w:r>
              <w:rPr>
                <w:rFonts w:ascii="Times New Roman" w:cs="Times New Roman" w:hAnsi="Times New Roman"/>
                <w:color w:val="000000"/>
                <w:sz w:val="24"/>
                <w:szCs w:val="24"/>
              </w:rPr>
              <w:t>(8.8%)</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553</w:t>
            </w:r>
            <w:r>
              <w:rPr>
                <w:rFonts w:ascii="Times New Roman" w:cs="Times New Roman" w:hAnsi="Times New Roman"/>
                <w:color w:val="000000"/>
                <w:sz w:val="24"/>
                <w:szCs w:val="24"/>
              </w:rPr>
              <w:t xml:space="preserve">    (62.4%)</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255</w:t>
            </w:r>
            <w:r>
              <w:rPr>
                <w:rFonts w:ascii="Times New Roman" w:cs="Times New Roman" w:hAnsi="Times New Roman"/>
                <w:color w:val="000000"/>
                <w:sz w:val="24"/>
                <w:szCs w:val="24"/>
              </w:rPr>
              <w:t>(28.8%)</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886</w:t>
            </w:r>
          </w:p>
        </w:tc>
        <w:tc>
          <w:tcPr>
            <w:tcW w:w="843"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914"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Klebsiella spp</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35</w:t>
            </w:r>
            <w:r>
              <w:rPr>
                <w:rFonts w:ascii="Times New Roman" w:cs="Times New Roman" w:hAnsi="Times New Roman"/>
                <w:color w:val="000000"/>
                <w:sz w:val="24"/>
                <w:szCs w:val="24"/>
              </w:rPr>
              <w:t>(15.1%)</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131</w:t>
            </w:r>
            <w:r>
              <w:rPr>
                <w:rFonts w:ascii="Times New Roman" w:cs="Times New Roman" w:hAnsi="Times New Roman"/>
                <w:color w:val="000000"/>
                <w:sz w:val="24"/>
                <w:szCs w:val="24"/>
              </w:rPr>
              <w:t>(56.5%)</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66</w:t>
            </w:r>
            <w:r>
              <w:rPr>
                <w:rFonts w:ascii="Times New Roman" w:cs="Times New Roman" w:hAnsi="Times New Roman"/>
                <w:color w:val="000000"/>
                <w:sz w:val="24"/>
                <w:szCs w:val="24"/>
              </w:rPr>
              <w:t>(28.4%)</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232</w:t>
            </w:r>
          </w:p>
        </w:tc>
        <w:tc>
          <w:tcPr>
            <w:tcW w:w="843"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914"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kern w:val="0"/>
                <w:sz w:val="24"/>
                <w:szCs w:val="24"/>
              </w:rPr>
              <w:t>Pseudomonas aeruginosa</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7</w:t>
            </w:r>
            <w:r>
              <w:rPr>
                <w:rFonts w:ascii="Times New Roman" w:cs="Times New Roman" w:hAnsi="Times New Roman"/>
                <w:color w:val="000000"/>
                <w:sz w:val="24"/>
                <w:szCs w:val="24"/>
              </w:rPr>
              <w:t>(13%)</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22</w:t>
            </w:r>
            <w:r>
              <w:rPr>
                <w:rFonts w:ascii="Times New Roman" w:cs="Times New Roman" w:hAnsi="Times New Roman"/>
                <w:color w:val="000000"/>
                <w:sz w:val="24"/>
                <w:szCs w:val="24"/>
              </w:rPr>
              <w:t>(40.7%)</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25</w:t>
            </w:r>
            <w:r>
              <w:rPr>
                <w:rFonts w:ascii="Times New Roman" w:cs="Times New Roman" w:hAnsi="Times New Roman"/>
                <w:color w:val="000000"/>
                <w:sz w:val="24"/>
                <w:szCs w:val="24"/>
              </w:rPr>
              <w:t>(46.3%)</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54</w:t>
            </w:r>
          </w:p>
        </w:tc>
        <w:tc>
          <w:tcPr>
            <w:tcW w:w="843"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914"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Proteus.spp</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4</w:t>
            </w:r>
            <w:r>
              <w:rPr>
                <w:rFonts w:ascii="Times New Roman" w:cs="Times New Roman" w:hAnsi="Times New Roman"/>
                <w:color w:val="000000"/>
                <w:sz w:val="24"/>
                <w:szCs w:val="24"/>
              </w:rPr>
              <w:t>(13.3)</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17</w:t>
            </w:r>
            <w:r>
              <w:rPr>
                <w:rFonts w:ascii="Times New Roman" w:cs="Times New Roman" w:hAnsi="Times New Roman"/>
                <w:color w:val="000000"/>
                <w:sz w:val="24"/>
                <w:szCs w:val="24"/>
              </w:rPr>
              <w:t>(53.7%)</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9</w:t>
            </w:r>
            <w:r>
              <w:rPr>
                <w:rFonts w:ascii="Times New Roman" w:cs="Times New Roman" w:hAnsi="Times New Roman"/>
                <w:color w:val="000000"/>
                <w:sz w:val="24"/>
                <w:szCs w:val="24"/>
              </w:rPr>
              <w:t>(23.7)</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30</w:t>
            </w:r>
          </w:p>
        </w:tc>
        <w:tc>
          <w:tcPr>
            <w:tcW w:w="843"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914"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Strep.spp</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w:t>
            </w:r>
            <w:r>
              <w:rPr>
                <w:rFonts w:ascii="Times New Roman" w:cs="Times New Roman" w:hAnsi="Times New Roman"/>
                <w:color w:val="000000"/>
                <w:sz w:val="24"/>
                <w:szCs w:val="24"/>
              </w:rPr>
              <w:t>5</w:t>
            </w:r>
            <w:r>
              <w:rPr>
                <w:rFonts w:ascii="Times New Roman" w:cs="Times New Roman" w:hAnsi="Times New Roman"/>
                <w:color w:val="000000"/>
                <w:sz w:val="24"/>
                <w:szCs w:val="24"/>
              </w:rPr>
              <w:t>0%)</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(0%)</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w:t>
            </w:r>
            <w:r>
              <w:rPr>
                <w:rFonts w:ascii="Times New Roman" w:cs="Times New Roman" w:hAnsi="Times New Roman"/>
                <w:color w:val="000000"/>
                <w:sz w:val="24"/>
                <w:szCs w:val="24"/>
              </w:rPr>
              <w:t>5</w:t>
            </w:r>
            <w:r>
              <w:rPr>
                <w:rFonts w:ascii="Times New Roman" w:cs="Times New Roman" w:hAnsi="Times New Roman"/>
                <w:color w:val="000000"/>
                <w:sz w:val="24"/>
                <w:szCs w:val="24"/>
              </w:rPr>
              <w:t>0%)</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w:t>
            </w:r>
          </w:p>
        </w:tc>
        <w:tc>
          <w:tcPr>
            <w:tcW w:w="843"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914"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Pantoea spp</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(0%)</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(0%)</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(0%)</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p>
        </w:tc>
        <w:tc>
          <w:tcPr>
            <w:tcW w:w="843"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914"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 mirabis</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(0%)</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r>
              <w:rPr>
                <w:rFonts w:ascii="Times New Roman" w:cs="Times New Roman" w:hAnsi="Times New Roman"/>
                <w:color w:val="000000"/>
                <w:sz w:val="24"/>
                <w:szCs w:val="24"/>
              </w:rPr>
              <w:t>(0%)</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0</w:t>
            </w:r>
            <w:r>
              <w:rPr>
                <w:rFonts w:ascii="Times New Roman" w:cs="Times New Roman" w:hAnsi="Times New Roman"/>
                <w:color w:val="000000"/>
                <w:sz w:val="24"/>
                <w:szCs w:val="24"/>
              </w:rPr>
              <w:t>(0%)</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w:t>
            </w:r>
          </w:p>
        </w:tc>
        <w:tc>
          <w:tcPr>
            <w:tcW w:w="843" w:type="dxa"/>
            <w:vMerge w:val="continue"/>
            <w:tcBorders/>
          </w:tcPr>
          <w:p>
            <w:pPr>
              <w:pStyle w:val="style0"/>
              <w:spacing w:after="0" w:lineRule="auto" w:line="240"/>
              <w:jc w:val="both"/>
              <w:rPr>
                <w:rFonts w:ascii="Times New Roman" w:cs="Times New Roman" w:hAnsi="Times New Roman"/>
                <w:color w:val="000000"/>
                <w:sz w:val="24"/>
                <w:szCs w:val="24"/>
              </w:rPr>
            </w:pPr>
          </w:p>
        </w:tc>
        <w:tc>
          <w:tcPr>
            <w:tcW w:w="914" w:type="dxa"/>
            <w:vMerge w:val="continue"/>
            <w:tcBorders/>
          </w:tcPr>
          <w:p>
            <w:pPr>
              <w:pStyle w:val="style0"/>
              <w:spacing w:after="0" w:lineRule="auto" w:line="240"/>
              <w:jc w:val="both"/>
              <w:rPr>
                <w:rFonts w:ascii="Times New Roman" w:cs="Times New Roman" w:hAnsi="Times New Roman"/>
                <w:color w:val="000000"/>
                <w:sz w:val="24"/>
                <w:szCs w:val="24"/>
              </w:rPr>
            </w:pPr>
          </w:p>
        </w:tc>
      </w:tr>
      <w:tr>
        <w:tblPrEx/>
        <w:trPr/>
        <w:tc>
          <w:tcPr>
            <w:tcW w:w="234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Total</w:t>
            </w:r>
          </w:p>
        </w:tc>
        <w:tc>
          <w:tcPr>
            <w:tcW w:w="126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233</w:t>
            </w:r>
            <w:r>
              <w:rPr>
                <w:rFonts w:ascii="Times New Roman" w:cs="Times New Roman" w:hAnsi="Times New Roman"/>
                <w:color w:val="000000"/>
                <w:sz w:val="24"/>
                <w:szCs w:val="24"/>
              </w:rPr>
              <w:t>(11%)</w:t>
            </w:r>
          </w:p>
        </w:tc>
        <w:tc>
          <w:tcPr>
            <w:tcW w:w="171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1378</w:t>
            </w:r>
            <w:r>
              <w:rPr>
                <w:rFonts w:ascii="Times New Roman" w:cs="Times New Roman" w:hAnsi="Times New Roman"/>
                <w:color w:val="000000"/>
                <w:sz w:val="24"/>
                <w:szCs w:val="24"/>
              </w:rPr>
              <w:t>(65.2%)</w:t>
            </w:r>
          </w:p>
        </w:tc>
        <w:tc>
          <w:tcPr>
            <w:tcW w:w="1800"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502</w:t>
            </w:r>
            <w:r>
              <w:rPr>
                <w:rFonts w:ascii="Times New Roman" w:cs="Times New Roman" w:hAnsi="Times New Roman"/>
                <w:color w:val="000000"/>
                <w:sz w:val="24"/>
                <w:szCs w:val="24"/>
              </w:rPr>
              <w:t>(23.7%)</w:t>
            </w:r>
          </w:p>
        </w:tc>
        <w:tc>
          <w:tcPr>
            <w:tcW w:w="1028" w:type="dxa"/>
            <w:tcBorders/>
          </w:tcPr>
          <w:p>
            <w:pPr>
              <w:pStyle w:val="style0"/>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2113</w:t>
            </w:r>
          </w:p>
        </w:tc>
        <w:tc>
          <w:tcPr>
            <w:tcW w:w="843" w:type="dxa"/>
            <w:tcBorders/>
          </w:tcPr>
          <w:p>
            <w:pPr>
              <w:pStyle w:val="style0"/>
              <w:spacing w:after="0" w:lineRule="auto" w:line="240"/>
              <w:jc w:val="both"/>
              <w:rPr>
                <w:rFonts w:ascii="Times New Roman" w:cs="Times New Roman" w:hAnsi="Times New Roman"/>
                <w:color w:val="000000"/>
                <w:sz w:val="24"/>
                <w:szCs w:val="24"/>
              </w:rPr>
            </w:pPr>
          </w:p>
        </w:tc>
        <w:tc>
          <w:tcPr>
            <w:tcW w:w="914" w:type="dxa"/>
            <w:tcBorders/>
          </w:tcPr>
          <w:p>
            <w:pPr>
              <w:pStyle w:val="style0"/>
              <w:spacing w:after="0" w:lineRule="auto" w:line="240"/>
              <w:jc w:val="both"/>
              <w:rPr>
                <w:rFonts w:ascii="Times New Roman" w:cs="Times New Roman" w:hAnsi="Times New Roman"/>
                <w:color w:val="000000"/>
                <w:sz w:val="24"/>
                <w:szCs w:val="24"/>
              </w:rPr>
            </w:pPr>
          </w:p>
        </w:tc>
      </w:tr>
    </w:tbl>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As outlined in table 3, there was significant difference in the organisms identified in different age groups with the highest number of majority of the isolated organisms seen in subjects between 19 to 59 years and the least seen in subjects that are less than 18 years.</w:t>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Figure 4: Prevalence of antimicrobial resistance among the specific isolates</w:t>
      </w: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Surprisingly, very high levels of resistance to different antibiotics was observed with many of the isolates. Out of the 907 samples with growth of S, aureus, 530, 463, 608, 499, 552 and 456 were resistant to ciprofloxacin, Augmentin, Ofloxacin, gentamicin, Ceftazidime and cefixime respectively. Similarly, 528, 610, 526, 509, 484 and 453 samples with E. coli were resistant to Ciprofloxacin, Augmentin, Ofl0xacin, Gentamicin, Ceftazidime and Cefixime respectively. Additionally, 128, 140, 120, 156, 123 and 105 samples that yielded growth of Klebsiella Spp were resistant to the same antibiotics in the same order. All the other isolates including Pseudomonas aeruginosa, Proteus Spp, Strep. Spp, Pantoea Spp and P. mirabis exhibited greater level of resistant than susceptibility.</w:t>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p>
    <w:tbl>
      <w:tblPr>
        <w:tblW w:w="12054" w:type="dxa"/>
        <w:tblInd w:w="-1281" w:type="dxa"/>
        <w:tblLayout w:type="fixed"/>
        <w:tblLook w:val="04A0" w:firstRow="1" w:lastRow="0" w:firstColumn="1" w:lastColumn="0" w:noHBand="0" w:noVBand="1"/>
      </w:tblPr>
      <w:tblGrid>
        <w:gridCol w:w="1276"/>
        <w:gridCol w:w="1276"/>
        <w:gridCol w:w="1559"/>
        <w:gridCol w:w="1139"/>
        <w:gridCol w:w="1134"/>
        <w:gridCol w:w="1134"/>
        <w:gridCol w:w="1134"/>
        <w:gridCol w:w="1134"/>
        <w:gridCol w:w="988"/>
        <w:gridCol w:w="146"/>
        <w:gridCol w:w="1134"/>
      </w:tblGrid>
      <w:tr>
        <w:trPr>
          <w:trHeight w:val="300" w:hRule="atLeast"/>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3974" w:type="dxa"/>
            <w:gridSpan w:val="3"/>
            <w:tcBorders>
              <w:top w:val="single" w:sz="4" w:space="0" w:color="000000"/>
              <w:left w:val="single" w:sz="4" w:space="0" w:color="auto"/>
              <w:bottom w:val="single" w:sz="4" w:space="0" w:color="000000"/>
              <w:right w:val="nil"/>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CIPROFLOXACIN</w:t>
            </w:r>
          </w:p>
        </w:tc>
        <w:tc>
          <w:tcPr>
            <w:tcW w:w="3402" w:type="dxa"/>
            <w:gridSpan w:val="3"/>
            <w:tcBorders>
              <w:top w:val="single" w:sz="4" w:space="0" w:color="44546a"/>
              <w:left w:val="single" w:sz="4" w:space="0" w:color="44546a"/>
              <w:bottom w:val="single" w:sz="4" w:space="0" w:color="44546a"/>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AUGMENTIN</w:t>
            </w:r>
          </w:p>
        </w:tc>
        <w:tc>
          <w:tcPr>
            <w:tcW w:w="3402" w:type="dxa"/>
            <w:gridSpan w:val="4"/>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OFLOXACIN</w:t>
            </w:r>
          </w:p>
        </w:tc>
      </w:tr>
      <w:tr>
        <w:tblPrEx/>
        <w:trPr>
          <w:trHeight w:val="300" w:hRule="atLeast"/>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1276" w:type="dxa"/>
            <w:tcBorders>
              <w:top w:val="nil"/>
              <w:left w:val="single" w:sz="4" w:space="0" w:color="auto"/>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Resistance</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Susceptible</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Intermediate</w:t>
            </w:r>
          </w:p>
        </w:tc>
        <w:tc>
          <w:tcPr>
            <w:tcW w:w="1134" w:type="dxa"/>
            <w:tcBorders>
              <w:top w:val="nil"/>
              <w:left w:val="nil"/>
              <w:bottom w:val="single" w:sz="4" w:space="0" w:color="000000"/>
              <w:right w:val="single" w:sz="4" w:space="0" w:color="44546a"/>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Resistance</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Susceptible</w:t>
            </w:r>
          </w:p>
        </w:tc>
        <w:tc>
          <w:tcPr>
            <w:tcW w:w="1134" w:type="dxa"/>
            <w:tcBorders>
              <w:top w:val="nil"/>
              <w:left w:val="nil"/>
              <w:bottom w:val="single" w:sz="4" w:space="0" w:color="000000"/>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Intermediate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Resistance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Susceptible</w:t>
            </w:r>
          </w:p>
        </w:tc>
        <w:tc>
          <w:tcPr>
            <w:tcW w:w="1134" w:type="dxa"/>
            <w:tcBorders>
              <w:top w:val="single" w:sz="4" w:space="0" w:color="auto"/>
              <w:left w:val="single" w:sz="4" w:space="0" w:color="auto"/>
              <w:bottom w:val="single" w:sz="4" w:space="0" w:color="auto"/>
              <w:right w:val="single" w:sz="4" w:space="0" w:color="auto"/>
            </w:tcBorders>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Intermediate</w:t>
            </w:r>
          </w:p>
        </w:tc>
      </w:tr>
      <w:tr>
        <w:tblPrEx/>
        <w:trPr>
          <w:trHeight w:val="300" w:hRule="atLeast"/>
        </w:trPr>
        <w:tc>
          <w:tcPr>
            <w:tcW w:w="1276" w:type="dxa"/>
            <w:tcBorders>
              <w:top w:val="single" w:sz="4" w:space="0" w:color="auto"/>
              <w:left w:val="single" w:sz="4" w:space="0" w:color="000000"/>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 aureus</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530 (69.5%)</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117  (15.5%)</w:t>
            </w:r>
          </w:p>
        </w:tc>
        <w:tc>
          <w:tcPr>
            <w:tcW w:w="1139" w:type="dxa"/>
            <w:tcBorders>
              <w:top w:val="single" w:sz="4" w:space="0" w:color="auto"/>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116 (15.0%)</w:t>
            </w:r>
          </w:p>
        </w:tc>
        <w:tc>
          <w:tcPr>
            <w:tcW w:w="1134" w:type="dxa"/>
            <w:tcBorders>
              <w:top w:val="single" w:sz="4" w:space="0" w:color="auto"/>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463 (68.0%)</w:t>
            </w:r>
          </w:p>
        </w:tc>
        <w:tc>
          <w:tcPr>
            <w:tcW w:w="1134" w:type="dxa"/>
            <w:tcBorders>
              <w:top w:val="single" w:sz="4" w:space="0" w:color="auto"/>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95 (14.0%)</w:t>
            </w:r>
          </w:p>
        </w:tc>
        <w:tc>
          <w:tcPr>
            <w:tcW w:w="1134" w:type="dxa"/>
            <w:tcBorders>
              <w:top w:val="single" w:sz="4" w:space="0" w:color="auto"/>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121 (18.0%)</w:t>
            </w:r>
          </w:p>
        </w:tc>
        <w:tc>
          <w:tcPr>
            <w:tcW w:w="1134" w:type="dxa"/>
            <w:tcBorders>
              <w:top w:val="single" w:sz="4" w:space="0" w:color="auto"/>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608 (75.3%)</w:t>
            </w:r>
          </w:p>
        </w:tc>
        <w:tc>
          <w:tcPr>
            <w:tcW w:w="1134" w:type="dxa"/>
            <w:gridSpan w:val="2"/>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102 (12.6%)</w:t>
            </w:r>
          </w:p>
        </w:tc>
        <w:tc>
          <w:tcPr>
            <w:tcW w:w="1134" w:type="dxa"/>
            <w:tcBorders>
              <w:top w:val="nil"/>
              <w:left w:val="nil"/>
              <w:bottom w:val="single" w:sz="4" w:space="0" w:color="000000"/>
              <w:right w:val="single" w:sz="4" w:space="0" w:color="000000"/>
            </w:tcBorders>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97 (12.1%)</w:t>
            </w:r>
          </w:p>
        </w:tc>
      </w:tr>
      <w:tr>
        <w:tblPrEx/>
        <w:trPr>
          <w:trHeight w:val="300" w:hRule="atLeast"/>
        </w:trPr>
        <w:tc>
          <w:tcPr>
            <w:tcW w:w="1276" w:type="dxa"/>
            <w:tcBorders>
              <w:top w:val="nil"/>
              <w:left w:val="single" w:sz="4" w:space="0" w:color="000000"/>
              <w:bottom w:val="single" w:sz="4" w:space="0" w:color="auto"/>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E.coli</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528 (65.7%)</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179 (22.3%)</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97  (12.0%)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610 (89.3%)</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31 (4.5%)</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42 (6.2%)</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526 (66.2%)</w:t>
            </w:r>
          </w:p>
        </w:tc>
        <w:tc>
          <w:tcPr>
            <w:tcW w:w="1134" w:type="dxa"/>
            <w:gridSpan w:val="2"/>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155 (19.5%)</w:t>
            </w:r>
          </w:p>
        </w:tc>
        <w:tc>
          <w:tcPr>
            <w:tcW w:w="1134" w:type="dxa"/>
            <w:tcBorders>
              <w:top w:val="nil"/>
              <w:left w:val="nil"/>
              <w:bottom w:val="single" w:sz="4" w:space="0" w:color="000000"/>
              <w:right w:val="single" w:sz="4" w:space="0" w:color="000000"/>
            </w:tcBorders>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113 (14.3%)</w:t>
            </w:r>
          </w:p>
        </w:tc>
      </w:tr>
      <w:tr>
        <w:tblPrEx/>
        <w:trPr>
          <w:trHeight w:val="300" w:hRule="atLeast"/>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Klebsiella</w:t>
            </w:r>
          </w:p>
        </w:tc>
        <w:tc>
          <w:tcPr>
            <w:tcW w:w="1276" w:type="dxa"/>
            <w:tcBorders>
              <w:top w:val="nil"/>
              <w:left w:val="single" w:sz="4" w:space="0" w:color="auto"/>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128</w:t>
            </w:r>
          </w:p>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(57.0%)</w:t>
            </w:r>
          </w:p>
        </w:tc>
        <w:tc>
          <w:tcPr>
            <w:tcW w:w="1559"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63 (28.0%)</w:t>
            </w:r>
          </w:p>
        </w:tc>
        <w:tc>
          <w:tcPr>
            <w:tcW w:w="1139"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34 (15.0%)</w:t>
            </w:r>
          </w:p>
        </w:tc>
        <w:tc>
          <w:tcPr>
            <w:tcW w:w="1134"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140 (93.3%)</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(0.7%)</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 (6.0%)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120 (57.4%)</w:t>
            </w:r>
          </w:p>
        </w:tc>
        <w:tc>
          <w:tcPr>
            <w:tcW w:w="1134" w:type="dxa"/>
            <w:gridSpan w:val="2"/>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46 (22.0%)</w:t>
            </w:r>
          </w:p>
        </w:tc>
        <w:tc>
          <w:tcPr>
            <w:tcW w:w="1134" w:type="dxa"/>
            <w:tcBorders>
              <w:top w:val="nil"/>
              <w:left w:val="nil"/>
              <w:bottom w:val="single" w:sz="4" w:space="0" w:color="000000"/>
              <w:right w:val="single" w:sz="4" w:space="0" w:color="000000"/>
            </w:tcBorders>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43 (20.6%)</w:t>
            </w:r>
          </w:p>
        </w:tc>
      </w:tr>
      <w:tr>
        <w:tblPrEx/>
        <w:trPr>
          <w:trHeight w:val="300" w:hRule="atLeast"/>
        </w:trPr>
        <w:tc>
          <w:tcPr>
            <w:tcW w:w="1276" w:type="dxa"/>
            <w:tcBorders>
              <w:top w:val="single" w:sz="4" w:space="0" w:color="auto"/>
              <w:left w:val="single" w:sz="4" w:space="0" w:color="000000"/>
              <w:bottom w:val="single" w:sz="4" w:space="0" w:color="000000"/>
              <w:right w:val="single" w:sz="4" w:space="0" w:color="000000"/>
            </w:tcBorders>
            <w:shd w:val="clear" w:color="auto" w:fill="auto"/>
          </w:tcPr>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Pseudomona aeruginosa</w:t>
            </w:r>
          </w:p>
        </w:tc>
        <w:tc>
          <w:tcPr>
            <w:tcW w:w="1276"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 (70.0%)</w:t>
            </w:r>
          </w:p>
        </w:tc>
        <w:tc>
          <w:tcPr>
            <w:tcW w:w="1559"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 (24.0%)</w:t>
            </w:r>
          </w:p>
        </w:tc>
        <w:tc>
          <w:tcPr>
            <w:tcW w:w="1139"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 (6.0%)</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29 (93.6%)</w:t>
            </w:r>
          </w:p>
        </w:tc>
        <w:tc>
          <w:tcPr>
            <w:tcW w:w="1134"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(3.2%)</w:t>
            </w:r>
          </w:p>
        </w:tc>
        <w:tc>
          <w:tcPr>
            <w:tcW w:w="1134"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(3.2%)</w:t>
            </w:r>
          </w:p>
        </w:tc>
        <w:tc>
          <w:tcPr>
            <w:tcW w:w="1134"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38 (74.5%)</w:t>
            </w:r>
          </w:p>
        </w:tc>
        <w:tc>
          <w:tcPr>
            <w:tcW w:w="1134" w:type="dxa"/>
            <w:gridSpan w:val="2"/>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 (13.7%)</w:t>
            </w:r>
          </w:p>
        </w:tc>
        <w:tc>
          <w:tcPr>
            <w:tcW w:w="1134" w:type="dxa"/>
            <w:tcBorders>
              <w:top w:val="nil"/>
              <w:left w:val="nil"/>
              <w:bottom w:val="nil"/>
              <w:right w:val="single" w:sz="4" w:space="0" w:color="000000"/>
            </w:tcBorders>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 (11.8%)</w:t>
            </w:r>
          </w:p>
        </w:tc>
      </w:tr>
      <w:tr>
        <w:tblPrEx/>
        <w:trPr>
          <w:trHeight w:val="300" w:hRule="atLeast"/>
        </w:trPr>
        <w:tc>
          <w:tcPr>
            <w:tcW w:w="1276" w:type="dxa"/>
            <w:tcBorders>
              <w:top w:val="nil"/>
              <w:left w:val="single" w:sz="4" w:space="0" w:color="000000"/>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Proteus.SPP</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15 (57.7%)</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 (26.9%)</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 (15.4%)</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13 (81.3%)</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 (18.7%)</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 (66.7%)</w:t>
            </w:r>
          </w:p>
        </w:tc>
        <w:tc>
          <w:tcPr>
            <w:tcW w:w="1134" w:type="dxa"/>
            <w:gridSpan w:val="2"/>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 (19.0%)</w:t>
            </w:r>
          </w:p>
        </w:tc>
        <w:tc>
          <w:tcPr>
            <w:tcW w:w="1134" w:type="dxa"/>
            <w:tcBorders>
              <w:top w:val="single" w:sz="4" w:space="0" w:color="000000"/>
              <w:left w:val="nil"/>
              <w:bottom w:val="single" w:sz="4" w:space="0" w:color="000000"/>
              <w:right w:val="single" w:sz="4" w:space="0" w:color="000000"/>
            </w:tcBorders>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 (14.3%)</w:t>
            </w:r>
          </w:p>
        </w:tc>
      </w:tr>
      <w:tr>
        <w:tblPrEx/>
        <w:trPr>
          <w:trHeight w:val="300" w:hRule="atLeast"/>
        </w:trPr>
        <w:tc>
          <w:tcPr>
            <w:tcW w:w="1276" w:type="dxa"/>
            <w:tcBorders>
              <w:top w:val="nil"/>
              <w:left w:val="single" w:sz="4" w:space="0" w:color="000000"/>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Strep.SPP</w:t>
            </w:r>
          </w:p>
        </w:tc>
        <w:tc>
          <w:tcPr>
            <w:tcW w:w="1276"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559"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139"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(50.0%)</w:t>
            </w:r>
          </w:p>
        </w:tc>
        <w:tc>
          <w:tcPr>
            <w:tcW w:w="1134" w:type="dxa"/>
            <w:gridSpan w:val="2"/>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(50.0%)</w:t>
            </w:r>
          </w:p>
        </w:tc>
        <w:tc>
          <w:tcPr>
            <w:tcW w:w="1134" w:type="dxa"/>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r>
      <w:tr>
        <w:tblPrEx/>
        <w:trPr>
          <w:trHeight w:val="300" w:hRule="atLeast"/>
        </w:trPr>
        <w:tc>
          <w:tcPr>
            <w:tcW w:w="1276" w:type="dxa"/>
            <w:tcBorders>
              <w:top w:val="nil"/>
              <w:left w:val="single" w:sz="4" w:space="0" w:color="000000"/>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Pantoea SPP</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gridSpan w:val="2"/>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r>
      <w:tr>
        <w:tblPrEx/>
        <w:trPr>
          <w:trHeight w:val="300" w:hRule="atLeast"/>
        </w:trPr>
        <w:tc>
          <w:tcPr>
            <w:tcW w:w="1276" w:type="dxa"/>
            <w:tcBorders>
              <w:top w:val="nil"/>
              <w:left w:val="single" w:sz="4" w:space="0" w:color="000000"/>
              <w:bottom w:val="single" w:sz="4" w:space="0" w:color="auto"/>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P.mirabis</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134" w:type="dxa"/>
            <w:gridSpan w:val="2"/>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r>
      <w:tr>
        <w:tblPrEx/>
        <w:trPr>
          <w:trHeight w:val="300" w:hRule="atLeast"/>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3974" w:type="dxa"/>
            <w:gridSpan w:val="3"/>
            <w:tcBorders>
              <w:top w:val="single" w:sz="4" w:space="0" w:color="000000"/>
              <w:left w:val="single" w:sz="4" w:space="0" w:color="auto"/>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GENTAMICIN</w:t>
            </w:r>
          </w:p>
        </w:tc>
        <w:tc>
          <w:tcPr>
            <w:tcW w:w="3402" w:type="dxa"/>
            <w:gridSpan w:val="3"/>
            <w:tcBorders>
              <w:top w:val="single" w:sz="4" w:space="0" w:color="000000"/>
              <w:left w:val="nil"/>
              <w:bottom w:val="single" w:sz="4" w:space="0" w:color="000000"/>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CEFTAZIDIME</w:t>
            </w:r>
          </w:p>
        </w:tc>
        <w:tc>
          <w:tcPr>
            <w:tcW w:w="3402" w:type="dxa"/>
            <w:gridSpan w:val="4"/>
            <w:tcBorders>
              <w:top w:val="single" w:sz="4" w:space="0" w:color="auto"/>
              <w:left w:val="single" w:sz="4" w:space="0" w:color="auto"/>
              <w:bottom w:val="single" w:sz="4" w:space="0" w:color="auto"/>
              <w:right w:val="single" w:sz="4" w:space="0" w:color="auto"/>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CEFIXIME</w:t>
            </w:r>
          </w:p>
        </w:tc>
      </w:tr>
      <w:tr>
        <w:tblPrEx/>
        <w:trPr>
          <w:trHeight w:val="300" w:hRule="atLeast"/>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w:t>
            </w:r>
          </w:p>
        </w:tc>
        <w:tc>
          <w:tcPr>
            <w:tcW w:w="1276" w:type="dxa"/>
            <w:tcBorders>
              <w:top w:val="nil"/>
              <w:left w:val="single" w:sz="4" w:space="0" w:color="auto"/>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Resistance</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Susceptible</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Intermediate</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Resistance</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Susceptible</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Intermediate</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Resistance</w:t>
            </w:r>
          </w:p>
        </w:tc>
        <w:tc>
          <w:tcPr>
            <w:tcW w:w="988"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Susceptible</w:t>
            </w:r>
          </w:p>
        </w:tc>
        <w:tc>
          <w:tcPr>
            <w:tcW w:w="1280" w:type="dxa"/>
            <w:gridSpan w:val="2"/>
            <w:tcBorders>
              <w:top w:val="single" w:sz="4" w:space="0" w:color="000000"/>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Intermediate</w:t>
            </w:r>
          </w:p>
        </w:tc>
      </w:tr>
      <w:tr>
        <w:tblPrEx/>
        <w:trPr>
          <w:trHeight w:val="300" w:hRule="atLeast"/>
        </w:trPr>
        <w:tc>
          <w:tcPr>
            <w:tcW w:w="1276" w:type="dxa"/>
            <w:tcBorders>
              <w:top w:val="single" w:sz="4" w:space="0" w:color="auto"/>
              <w:left w:val="single" w:sz="4" w:space="0" w:color="000000"/>
              <w:bottom w:val="single" w:sz="4" w:space="0" w:color="auto"/>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 aureus</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499 (58.0%)</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119 (13.8%)</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242 (28.2%)</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552 (89.6%)</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19 (3.1%)</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45 (7.3%)</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456 (92.7%)</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 (2.4%)</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24 (4.9%)</w:t>
            </w:r>
          </w:p>
        </w:tc>
      </w:tr>
      <w:tr>
        <w:tblPrEx/>
        <w:trPr>
          <w:trHeight w:val="300" w:hRule="atLeast"/>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E.coli</w:t>
            </w:r>
          </w:p>
        </w:tc>
        <w:tc>
          <w:tcPr>
            <w:tcW w:w="1276" w:type="dxa"/>
            <w:tcBorders>
              <w:top w:val="nil"/>
              <w:left w:val="single" w:sz="4" w:space="0" w:color="auto"/>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509 (60.0%)</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117 (13.8%)</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222 (26.2%)</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484 (67.3%)</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54 (7.5%)</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181 (25.2%)</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453 (83.1%)</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 (6.4%)</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57 (10.5%)</w:t>
            </w:r>
          </w:p>
        </w:tc>
      </w:tr>
      <w:tr>
        <w:tblPrEx/>
        <w:trPr>
          <w:trHeight w:val="300" w:hRule="atLeast"/>
        </w:trPr>
        <w:tc>
          <w:tcPr>
            <w:tcW w:w="1276" w:type="dxa"/>
            <w:tcBorders>
              <w:top w:val="single" w:sz="4" w:space="0" w:color="auto"/>
              <w:left w:val="single" w:sz="4" w:space="0" w:color="000000"/>
              <w:bottom w:val="single" w:sz="4" w:space="0" w:color="auto"/>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Klebsiella</w:t>
            </w:r>
          </w:p>
        </w:tc>
        <w:tc>
          <w:tcPr>
            <w:tcW w:w="1276"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156 (70.3%)</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29 (13.0%)</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37 (16.7%)</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123 (84.8%)</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 (6.2%)</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13 (9.0%)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105 (83.3%)</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 (5.6%)</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14 (11.1%)</w:t>
            </w:r>
          </w:p>
        </w:tc>
      </w:tr>
      <w:tr>
        <w:tblPrEx/>
        <w:trPr>
          <w:trHeight w:val="300" w:hRule="atLeast"/>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hAnsi="Times New Roman"/>
                <w:color w:val="000000"/>
                <w:sz w:val="24"/>
                <w:szCs w:val="24"/>
              </w:rPr>
              <w:t>Pseudomona aeruginosa</w:t>
            </w:r>
          </w:p>
        </w:tc>
        <w:tc>
          <w:tcPr>
            <w:tcW w:w="1276" w:type="dxa"/>
            <w:tcBorders>
              <w:top w:val="nil"/>
              <w:left w:val="single" w:sz="4" w:space="0" w:color="auto"/>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39 (75.0%)</w:t>
            </w:r>
          </w:p>
        </w:tc>
        <w:tc>
          <w:tcPr>
            <w:tcW w:w="1559"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 (11.5%)</w:t>
            </w:r>
          </w:p>
        </w:tc>
        <w:tc>
          <w:tcPr>
            <w:tcW w:w="1139"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7 (13.5%)</w:t>
            </w:r>
          </w:p>
        </w:tc>
        <w:tc>
          <w:tcPr>
            <w:tcW w:w="1134"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24 (82.8%)</w:t>
            </w:r>
          </w:p>
        </w:tc>
        <w:tc>
          <w:tcPr>
            <w:tcW w:w="1134" w:type="dxa"/>
            <w:tcBorders>
              <w:top w:val="nil"/>
              <w:left w:val="nil"/>
              <w:bottom w:val="nil"/>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 (10.3%)</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 (6.9%)</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26 (96.3%)</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(3.7%)</w:t>
            </w:r>
          </w:p>
        </w:tc>
      </w:tr>
      <w:tr>
        <w:tblPrEx/>
        <w:trPr>
          <w:trHeight w:val="300" w:hRule="atLeast"/>
        </w:trPr>
        <w:tc>
          <w:tcPr>
            <w:tcW w:w="1276" w:type="dxa"/>
            <w:tcBorders>
              <w:top w:val="single" w:sz="4" w:space="0" w:color="auto"/>
              <w:left w:val="single" w:sz="4" w:space="0" w:color="000000"/>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Proteus.SPP</w:t>
            </w:r>
          </w:p>
        </w:tc>
        <w:tc>
          <w:tcPr>
            <w:tcW w:w="1276"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 (41.4%)</w:t>
            </w:r>
          </w:p>
        </w:tc>
        <w:tc>
          <w:tcPr>
            <w:tcW w:w="1559"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 (20.7%)</w:t>
            </w:r>
          </w:p>
        </w:tc>
        <w:tc>
          <w:tcPr>
            <w:tcW w:w="1139"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 (37.9%)</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8 (66.7%)</w:t>
            </w:r>
          </w:p>
        </w:tc>
        <w:tc>
          <w:tcPr>
            <w:tcW w:w="1134" w:type="dxa"/>
            <w:tcBorders>
              <w:top w:val="single" w:sz="4" w:space="0" w:color="000000"/>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 (33.3%)</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12 (85.8%)</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(7.1%)</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(7.1%)</w:t>
            </w:r>
          </w:p>
        </w:tc>
      </w:tr>
      <w:tr>
        <w:tblPrEx/>
        <w:trPr>
          <w:trHeight w:val="300" w:hRule="atLeast"/>
        </w:trPr>
        <w:tc>
          <w:tcPr>
            <w:tcW w:w="1276" w:type="dxa"/>
            <w:tcBorders>
              <w:top w:val="nil"/>
              <w:left w:val="single" w:sz="4" w:space="0" w:color="000000"/>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Strep.SPP</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(50.0%)</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(50.0%)</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(20.0%)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 (80.0%)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r>
      <w:tr>
        <w:tblPrEx/>
        <w:trPr>
          <w:trHeight w:val="300" w:hRule="atLeast"/>
        </w:trPr>
        <w:tc>
          <w:tcPr>
            <w:tcW w:w="1276" w:type="dxa"/>
            <w:tcBorders>
              <w:top w:val="nil"/>
              <w:left w:val="single" w:sz="4" w:space="0" w:color="000000"/>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Pantoea SPP</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r>
      <w:tr>
        <w:tblPrEx/>
        <w:trPr>
          <w:trHeight w:val="300" w:hRule="atLeast"/>
        </w:trPr>
        <w:tc>
          <w:tcPr>
            <w:tcW w:w="1276" w:type="dxa"/>
            <w:tcBorders>
              <w:top w:val="nil"/>
              <w:left w:val="single" w:sz="4" w:space="0" w:color="000000"/>
              <w:bottom w:val="single" w:sz="4" w:space="0" w:color="auto"/>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P.mirabis</w:t>
            </w:r>
          </w:p>
        </w:tc>
        <w:tc>
          <w:tcPr>
            <w:tcW w:w="1276"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55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9"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134"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 (100.0%)</w:t>
            </w:r>
          </w:p>
        </w:tc>
        <w:tc>
          <w:tcPr>
            <w:tcW w:w="988" w:type="dxa"/>
            <w:tcBorders>
              <w:top w:val="nil"/>
              <w:left w:val="nil"/>
              <w:bottom w:val="single" w:sz="4" w:space="0" w:color="000000"/>
              <w:right w:val="single" w:sz="4" w:space="0" w:color="000000"/>
            </w:tcBorders>
            <w:shd w:val="clear" w:color="auto" w:fill="auto"/>
            <w:vAlign w:val="bottom"/>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c>
          <w:tcPr>
            <w:tcW w:w="1280" w:type="dxa"/>
            <w:gridSpan w:val="2"/>
            <w:tcBorders>
              <w:top w:val="nil"/>
              <w:left w:val="nil"/>
              <w:bottom w:val="single" w:sz="4" w:space="0" w:color="000000"/>
              <w:right w:val="single" w:sz="4" w:space="0" w:color="000000"/>
            </w:tcBorders>
          </w:tcPr>
          <w:p>
            <w:pPr>
              <w:pStyle w:val="style0"/>
              <w:spacing w:after="0" w:lineRule="auto" w:line="24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 (0.0%)</w:t>
            </w:r>
          </w:p>
        </w:tc>
      </w:tr>
    </w:tbl>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r>
        <w:rPr>
          <w:rFonts w:ascii="Times New Roman" w:cs="Times New Roman" w:hAnsi="Times New Roman"/>
          <w:noProof/>
          <w:color w:val="000000"/>
          <w:sz w:val="24"/>
          <w:szCs w:val="24"/>
        </w:rPr>
      </w:r>
      <w:r>
        <w:rPr>
          <w:rFonts w:ascii="Times New Roman" w:cs="Times New Roman" w:hAnsi="Times New Roman"/>
          <w:noProof/>
          <w:color w:val="000000"/>
          <w:sz w:val="24"/>
          <w:szCs w:val="24"/>
        </w:rPr>
      </w:r>
      <w:r>
        <w:rPr>
          <w:rFonts w:ascii="Times New Roman" w:cs="Times New Roman" w:hAnsi="Times New Roman"/>
          <w:noProof/>
          <w:color w:val="000000"/>
          <w:sz w:val="24"/>
          <w:szCs w:val="24"/>
        </w:rPr>
      </w:r>
      <w:r>
        <w:rPr>
          <w:rFonts w:ascii="Times New Roman" w:cs="Times New Roman" w:hAnsi="Times New Roman"/>
          <w:noProof/>
          <w:color w:val="000000"/>
          <w:sz w:val="24"/>
          <w:szCs w:val="24"/>
        </w:rPr>
        <w:drawing>
          <wp:inline distL="114300" distT="0" distB="0" distR="114300">
            <wp:extent cx="4572000" cy="280035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r>
        <w:rPr>
          <w:rFonts w:ascii="Times New Roman" w:cs="Times New Roman" w:hAnsi="Times New Roman"/>
          <w:noProof/>
          <w:color w:val="000000"/>
          <w:sz w:val="24"/>
          <w:szCs w:val="24"/>
        </w:rPr>
      </w:r>
    </w:p>
    <w:p>
      <w:pPr>
        <w:pStyle w:val="style0"/>
        <w:jc w:val="both"/>
        <w:rPr>
          <w:rFonts w:ascii="Times New Roman" w:cs="Times New Roman" w:hAnsi="Times New Roman"/>
          <w:color w:val="000000"/>
          <w:sz w:val="24"/>
          <w:szCs w:val="24"/>
        </w:rPr>
      </w:pPr>
      <w:r>
        <w:rPr>
          <w:rFonts w:ascii="Times New Roman" w:cs="Times New Roman" w:hAnsi="Times New Roman"/>
          <w:color w:val="000000"/>
          <w:sz w:val="24"/>
          <w:szCs w:val="24"/>
        </w:rPr>
        <w:t>Fig. 2: Antimicrobial susceptibility profiles of microbe/ Ciprofloxacin</w:t>
      </w:r>
    </w:p>
    <w:p>
      <w:pPr>
        <w:pStyle w:val="style0"/>
        <w:jc w:val="both"/>
        <w:rPr>
          <w:rFonts w:ascii="Times New Roman" w:cs="Times New Roman" w:hAnsi="Times New Roman"/>
          <w:color w:val="000000"/>
          <w:sz w:val="24"/>
          <w:szCs w:val="24"/>
        </w:rPr>
        <w:sectPr>
          <w:type w:val="continuous"/>
          <w:pgSz w:w="12240" w:h="15840" w:orient="portrait"/>
          <w:pgMar w:top="1440" w:right="1440" w:bottom="1440" w:left="1440" w:header="720" w:footer="720" w:gutter="0"/>
          <w:cols w:space="720"/>
          <w:docGrid w:linePitch="360"/>
        </w:sectPr>
      </w:pPr>
    </w:p>
    <w:p>
      <w:pPr>
        <w:pStyle w:val="style0"/>
        <w:jc w:val="both"/>
        <w:rPr>
          <w:rFonts w:ascii="Times New Roman" w:cs="Times New Roman" w:hAnsi="Times New Roman"/>
          <w:color w:val="000000"/>
          <w:sz w:val="24"/>
          <w:szCs w:val="24"/>
        </w:rPr>
      </w:pPr>
      <w:r>
        <w:rPr>
          <w:rFonts w:ascii="Times New Roman" w:cs="Times New Roman" w:hAnsi="Times New Roman"/>
          <w:noProof/>
          <w:color w:val="000000"/>
          <w:sz w:val="24"/>
          <w:szCs w:val="24"/>
        </w:rPr>
      </w:r>
      <w:r>
        <w:rPr>
          <w:rFonts w:ascii="Times New Roman" w:cs="Times New Roman" w:hAnsi="Times New Roman"/>
          <w:noProof/>
          <w:color w:val="000000"/>
          <w:sz w:val="24"/>
          <w:szCs w:val="24"/>
        </w:rPr>
      </w:r>
      <w:r>
        <w:rPr>
          <w:rFonts w:ascii="Times New Roman" w:cs="Times New Roman" w:hAnsi="Times New Roman"/>
          <w:noProof/>
          <w:color w:val="000000"/>
          <w:sz w:val="24"/>
          <w:szCs w:val="24"/>
        </w:rPr>
      </w:r>
      <w:r>
        <w:rPr>
          <w:rFonts w:ascii="Times New Roman" w:cs="Times New Roman" w:hAnsi="Times New Roman"/>
          <w:noProof/>
          <w:color w:val="000000"/>
          <w:sz w:val="24"/>
          <w:szCs w:val="24"/>
        </w:rPr>
        <w:drawing>
          <wp:inline distL="114300" distT="0" distB="0" distR="114300">
            <wp:extent cx="2898140" cy="2061210"/>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r>
        <w:rPr>
          <w:rFonts w:ascii="Times New Roman" w:cs="Times New Roman" w:hAnsi="Times New Roman"/>
          <w:noProof/>
          <w:color w:val="000000"/>
          <w:sz w:val="24"/>
          <w:szCs w:val="24"/>
        </w:rPr>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rPr>
      </w:pPr>
    </w:p>
    <w:p>
      <w:pPr>
        <w:pStyle w:val="style4100"/>
        <w:spacing w:after="0"/>
        <w:jc w:val="both"/>
        <w:rPr>
          <w:rFonts w:ascii="Times New Roman" w:hAnsi="Times New Roman"/>
          <w:color w:val="000000"/>
          <w:sz w:val="24"/>
          <w:szCs w:val="24"/>
        </w:rPr>
      </w:pPr>
      <w:r>
        <w:rPr>
          <w:rFonts w:ascii="Times New Roman" w:hAnsi="Times New Roman"/>
          <w:noProof/>
          <w:color w:val="000000"/>
          <w:sz w:val="24"/>
          <w:szCs w:val="24"/>
        </w:rPr>
        <w:drawing>
          <wp:anchor distT="0" distB="0" distL="114300" distR="114300" simplePos="false" relativeHeight="2" behindDoc="false" locked="false" layoutInCell="true" allowOverlap="true">
            <wp:simplePos x="0" y="0"/>
            <wp:positionH relativeFrom="column">
              <wp:align>left</wp:align>
            </wp:positionH>
            <wp:positionV relativeFrom="paragraph">
              <wp:align>top</wp:align>
            </wp:positionV>
            <wp:extent cx="4572000" cy="2743200"/>
            <wp:effectExtent l="0" t="0" r="0" b="0"/>
            <wp:wrapSquare wrapText="bothSides"/>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r>
        <w:rPr>
          <w:rFonts w:ascii="Times New Roman" w:hAnsi="Times New Roman"/>
          <w:color w:val="000000"/>
          <w:sz w:val="24"/>
          <w:szCs w:val="24"/>
        </w:rPr>
        <w:br w:clear="all"/>
      </w: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r>
        <w:rPr>
          <w:rFonts w:ascii="Times New Roman" w:hAnsi="Times New Roman"/>
          <w:noProof/>
          <w:color w:val="000000"/>
          <w:sz w:val="24"/>
          <w:szCs w:val="24"/>
        </w:rPr>
      </w:r>
      <w:r>
        <w:rPr>
          <w:rFonts w:ascii="Times New Roman" w:hAnsi="Times New Roman"/>
          <w:noProof/>
          <w:color w:val="000000"/>
          <w:sz w:val="24"/>
          <w:szCs w:val="24"/>
        </w:rPr>
      </w:r>
      <w:r>
        <w:rPr>
          <w:rFonts w:ascii="Times New Roman" w:hAnsi="Times New Roman"/>
          <w:noProof/>
          <w:color w:val="000000"/>
          <w:sz w:val="24"/>
          <w:szCs w:val="24"/>
        </w:rPr>
      </w:r>
      <w:r>
        <w:rPr>
          <w:rFonts w:ascii="Times New Roman" w:hAnsi="Times New Roman"/>
          <w:noProof/>
          <w:color w:val="000000"/>
          <w:sz w:val="24"/>
          <w:szCs w:val="24"/>
        </w:rPr>
        <w:drawing>
          <wp:inline distL="114300" distT="0" distB="0" distR="114300">
            <wp:extent cx="5943600" cy="2621280"/>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hAnsi="Times New Roman"/>
          <w:noProof/>
          <w:color w:val="000000"/>
          <w:sz w:val="24"/>
          <w:szCs w:val="24"/>
        </w:rPr>
      </w: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UTIs are a common health concern affecting individuals of both genders and all ages. Over 90% of UTI are caused by normal body flora bacteria that contaminate the genital area and the urinary tract (Ekwealor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2024). Studies have shown that the pathogenic bacteria associated with UTI are mostly </w:t>
      </w:r>
      <w:r>
        <w:rPr>
          <w:rFonts w:ascii="Times New Roman" w:cs="Times New Roman" w:hAnsi="Times New Roman"/>
          <w:i/>
          <w:iCs/>
          <w:color w:val="000000"/>
          <w:sz w:val="24"/>
          <w:szCs w:val="24"/>
        </w:rPr>
        <w:t>Staphylococcus saprophyticus</w:t>
      </w:r>
      <w:r>
        <w:rPr>
          <w:rFonts w:ascii="Times New Roman" w:cs="Times New Roman" w:hAnsi="Times New Roman"/>
          <w:color w:val="000000"/>
          <w:sz w:val="24"/>
          <w:szCs w:val="24"/>
        </w:rPr>
        <w:t xml:space="preserve">, </w:t>
      </w:r>
      <w:r>
        <w:rPr>
          <w:rFonts w:ascii="Times New Roman" w:cs="Times New Roman" w:hAnsi="Times New Roman"/>
          <w:i/>
          <w:iCs/>
          <w:color w:val="000000"/>
          <w:sz w:val="24"/>
          <w:szCs w:val="24"/>
        </w:rPr>
        <w:t>Escherichia coli</w:t>
      </w:r>
      <w:r>
        <w:rPr>
          <w:rFonts w:ascii="Times New Roman" w:cs="Times New Roman" w:hAnsi="Times New Roman"/>
          <w:color w:val="000000"/>
          <w:sz w:val="24"/>
          <w:szCs w:val="24"/>
        </w:rPr>
        <w:t xml:space="preserve">, </w:t>
      </w:r>
      <w:r>
        <w:rPr>
          <w:rFonts w:ascii="Times New Roman" w:cs="Times New Roman" w:hAnsi="Times New Roman"/>
          <w:i/>
          <w:iCs/>
          <w:color w:val="000000"/>
          <w:sz w:val="24"/>
          <w:szCs w:val="24"/>
        </w:rPr>
        <w:t>Klebsiella pneumonia</w:t>
      </w:r>
      <w:r>
        <w:rPr>
          <w:rFonts w:ascii="Times New Roman" w:cs="Times New Roman" w:hAnsi="Times New Roman"/>
          <w:color w:val="000000"/>
          <w:sz w:val="24"/>
          <w:szCs w:val="24"/>
        </w:rPr>
        <w:t xml:space="preserve">, </w:t>
      </w:r>
      <w:r>
        <w:rPr>
          <w:rFonts w:ascii="Times New Roman" w:cs="Times New Roman" w:hAnsi="Times New Roman"/>
          <w:i/>
          <w:iCs/>
          <w:color w:val="000000"/>
          <w:sz w:val="24"/>
          <w:szCs w:val="24"/>
        </w:rPr>
        <w:t>Staphylococcus</w:t>
      </w:r>
      <w:r>
        <w:rPr>
          <w:rFonts w:ascii="Times New Roman" w:cs="Times New Roman" w:hAnsi="Times New Roman"/>
          <w:color w:val="000000"/>
          <w:sz w:val="24"/>
          <w:szCs w:val="24"/>
        </w:rPr>
        <w:t xml:space="preserve"> aureus, </w:t>
      </w:r>
      <w:r>
        <w:rPr>
          <w:rFonts w:ascii="Times New Roman" w:cs="Times New Roman" w:hAnsi="Times New Roman"/>
          <w:i/>
          <w:iCs/>
          <w:color w:val="000000"/>
          <w:sz w:val="24"/>
          <w:szCs w:val="24"/>
        </w:rPr>
        <w:t>Proteus spp</w:t>
      </w:r>
      <w:r>
        <w:rPr>
          <w:rFonts w:ascii="Times New Roman" w:cs="Times New Roman" w:hAnsi="Times New Roman"/>
          <w:color w:val="000000"/>
          <w:sz w:val="24"/>
          <w:szCs w:val="24"/>
        </w:rPr>
        <w:t xml:space="preserve">., </w:t>
      </w:r>
      <w:r>
        <w:rPr>
          <w:rFonts w:ascii="Times New Roman" w:cs="Times New Roman" w:hAnsi="Times New Roman"/>
          <w:i/>
          <w:iCs/>
          <w:color w:val="000000"/>
          <w:sz w:val="24"/>
          <w:szCs w:val="24"/>
        </w:rPr>
        <w:t xml:space="preserve">Pseudomonas auroginosa </w:t>
      </w:r>
      <w:r>
        <w:rPr>
          <w:rFonts w:ascii="Times New Roman" w:cs="Times New Roman" w:hAnsi="Times New Roman"/>
          <w:color w:val="000000"/>
          <w:sz w:val="24"/>
          <w:szCs w:val="24"/>
        </w:rPr>
        <w:t xml:space="preserve">and Enterococci (Thakur and Nepal, 2020, Garnizov, 2016) with the most frequently isolated gram negative and gram positive bacteria being E. coli and Staphylococcus aureus respectively (Ekwealor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2021). Generally, among bacteria, 75%–95% of cases of UTI are caused by E. coli </w:t>
      </w:r>
      <w:r>
        <w:rPr>
          <w:rFonts w:ascii="Times New Roman" w:cs="Times New Roman" w:hAnsi="Times New Roman"/>
          <w:color w:val="000000"/>
          <w:sz w:val="24"/>
          <w:szCs w:val="24"/>
        </w:rPr>
        <w:t>(</w:t>
      </w:r>
      <w:r>
        <w:rPr>
          <w:rFonts w:ascii="Times New Roman" w:cs="Times New Roman" w:hAnsi="Times New Roman"/>
          <w:color w:val="000000"/>
          <w:sz w:val="24"/>
          <w:szCs w:val="24"/>
        </w:rPr>
        <w:t>Kashef</w:t>
      </w:r>
      <w:r>
        <w:rPr>
          <w:rFonts w:ascii="Times New Roman" w:cs="Times New Roman" w:hAnsi="Times New Roman"/>
          <w:color w:val="000000"/>
          <w:sz w:val="24"/>
          <w:szCs w:val="24"/>
        </w:rPr>
        <w:t xml:space="preserve">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2010).</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 xml:space="preserve">In this study, Gram negative organisms accounted for 1204 (57%) of the isolates with </w:t>
      </w:r>
      <w:r>
        <w:rPr>
          <w:rFonts w:ascii="Times New Roman" w:cs="Times New Roman" w:hAnsi="Times New Roman"/>
          <w:i/>
          <w:iCs/>
          <w:color w:val="000000"/>
          <w:sz w:val="24"/>
          <w:szCs w:val="24"/>
        </w:rPr>
        <w:t xml:space="preserve">E. coli </w:t>
      </w:r>
      <w:r>
        <w:rPr>
          <w:rFonts w:ascii="Times New Roman" w:cs="Times New Roman" w:hAnsi="Times New Roman"/>
          <w:iCs/>
          <w:color w:val="000000"/>
          <w:sz w:val="24"/>
          <w:szCs w:val="24"/>
        </w:rPr>
        <w:t>866 (41.9%)</w:t>
      </w:r>
      <w:r>
        <w:rPr>
          <w:rFonts w:ascii="Times New Roman" w:cs="Times New Roman" w:hAnsi="Times New Roman"/>
          <w:color w:val="000000"/>
          <w:sz w:val="24"/>
          <w:szCs w:val="24"/>
        </w:rPr>
        <w:t xml:space="preserve"> as the most prevalent while </w:t>
      </w:r>
      <w:r>
        <w:rPr>
          <w:rFonts w:ascii="Times New Roman" w:cs="Times New Roman" w:hAnsi="Times New Roman"/>
          <w:iCs/>
          <w:color w:val="000000"/>
          <w:sz w:val="24"/>
          <w:szCs w:val="24"/>
        </w:rPr>
        <w:t>Pontoea</w:t>
      </w:r>
      <w:r>
        <w:rPr>
          <w:rFonts w:ascii="Times New Roman" w:cs="Times New Roman" w:hAnsi="Times New Roman"/>
          <w:iCs/>
          <w:color w:val="000000"/>
          <w:sz w:val="24"/>
          <w:szCs w:val="24"/>
        </w:rPr>
        <w:t xml:space="preserve"> </w:t>
      </w:r>
      <w:r>
        <w:rPr>
          <w:rFonts w:ascii="Times New Roman" w:cs="Times New Roman" w:hAnsi="Times New Roman"/>
          <w:iCs/>
          <w:color w:val="000000"/>
          <w:sz w:val="24"/>
          <w:szCs w:val="24"/>
        </w:rPr>
        <w:t>spp</w:t>
      </w:r>
      <w:r>
        <w:rPr>
          <w:rFonts w:ascii="Times New Roman" w:cs="Times New Roman" w:hAnsi="Times New Roman"/>
          <w:iCs/>
          <w:color w:val="000000"/>
          <w:sz w:val="24"/>
          <w:szCs w:val="24"/>
        </w:rPr>
        <w:t xml:space="preserve"> (0%</w:t>
      </w:r>
      <w:r>
        <w:rPr>
          <w:rFonts w:ascii="Times New Roman" w:cs="Times New Roman" w:hAnsi="Times New Roman"/>
          <w:iCs/>
          <w:color w:val="000000"/>
          <w:sz w:val="24"/>
          <w:szCs w:val="24"/>
        </w:rPr>
        <w:t>) and P. mirabilis</w:t>
      </w:r>
      <w:r>
        <w:rPr>
          <w:rFonts w:ascii="Times New Roman" w:cs="Times New Roman" w:hAnsi="Times New Roman"/>
          <w:i/>
          <w:iCs/>
          <w:color w:val="000000"/>
          <w:sz w:val="24"/>
          <w:szCs w:val="24"/>
        </w:rPr>
        <w:t xml:space="preserve"> </w:t>
      </w:r>
      <w:r>
        <w:rPr>
          <w:rFonts w:ascii="Times New Roman" w:cs="Times New Roman" w:hAnsi="Times New Roman"/>
          <w:color w:val="000000"/>
          <w:sz w:val="24"/>
          <w:szCs w:val="24"/>
        </w:rPr>
        <w:t>(0%</w:t>
      </w:r>
      <w:r>
        <w:rPr>
          <w:rFonts w:ascii="Times New Roman" w:cs="Times New Roman" w:hAnsi="Times New Roman"/>
          <w:color w:val="000000"/>
          <w:sz w:val="24"/>
          <w:szCs w:val="24"/>
        </w:rPr>
        <w:t xml:space="preserve">) were the least. High prevalence of gram negative organisms in UTI has also been reported by Johnson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(2021), Ali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(2022) and Ekweazor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(2024) who recorded 76.45%, 71% and (55.6%) gram negative bacteria respectively. Furthermore, in line with our study, E. coli has also been reported by several researchers</w:t>
      </w:r>
      <w:r>
        <w:rPr>
          <w:rFonts w:ascii="Times New Roman" w:cs="Times New Roman" w:hAnsi="Times New Roman"/>
          <w:i/>
          <w:iCs/>
          <w:color w:val="000000"/>
          <w:sz w:val="24"/>
          <w:szCs w:val="24"/>
        </w:rPr>
        <w:t xml:space="preserve"> </w:t>
      </w:r>
      <w:r>
        <w:rPr>
          <w:rFonts w:ascii="Times New Roman" w:cs="Times New Roman" w:hAnsi="Times New Roman"/>
          <w:color w:val="000000"/>
          <w:sz w:val="24"/>
          <w:szCs w:val="24"/>
        </w:rPr>
        <w:t xml:space="preserve">as the most common Gram negative bacteria involved in UTI (Onyango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(2018); Muhammad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(2020); Vicar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(2023); Ekweazor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2024). It is noteworthy that approximately 80% of uropathogenic </w:t>
      </w:r>
      <w:r>
        <w:rPr>
          <w:rFonts w:ascii="Times New Roman" w:cs="Times New Roman" w:hAnsi="Times New Roman"/>
          <w:i/>
          <w:iCs/>
          <w:color w:val="000000"/>
          <w:sz w:val="24"/>
          <w:szCs w:val="24"/>
        </w:rPr>
        <w:t xml:space="preserve">E. coli </w:t>
      </w:r>
      <w:r>
        <w:rPr>
          <w:rFonts w:ascii="Times New Roman" w:cs="Times New Roman" w:hAnsi="Times New Roman"/>
          <w:color w:val="000000"/>
          <w:sz w:val="24"/>
          <w:szCs w:val="24"/>
        </w:rPr>
        <w:t xml:space="preserve">express P fimbriae, a virulent factor that assists it to anchor to the glycolipid of the outer membrane of urothelial cells in the kidney thereby causing inflammation (Onyango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2018).</w:t>
      </w:r>
    </w:p>
    <w:p>
      <w:pPr>
        <w:pStyle w:val="style0"/>
        <w:autoSpaceDE w:val="false"/>
        <w:autoSpaceDN w:val="false"/>
        <w:adjustRightInd w:val="false"/>
        <w:spacing w:after="0" w:lineRule="auto" w:line="240"/>
        <w:rPr>
          <w:rFonts w:ascii="Times New Roman" w:cs="Times New Roman" w:hAnsi="Times New Roman"/>
          <w:color w:val="000000"/>
          <w:sz w:val="24"/>
          <w:szCs w:val="24"/>
        </w:rPr>
      </w:pPr>
    </w:p>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 xml:space="preserve">Interestingly, in our study, most of the uropathogens were recovered from female patients (1430; 67.7%). This is consistent </w:t>
      </w:r>
      <w:r>
        <w:rPr>
          <w:rFonts w:ascii="Times New Roman" w:cs="Times New Roman" w:hAnsi="Times New Roman"/>
          <w:color w:val="000000"/>
          <w:sz w:val="24"/>
          <w:szCs w:val="24"/>
        </w:rPr>
        <w:t xml:space="preserve">with the report of Muhammed </w:t>
      </w:r>
      <w:r>
        <w:rPr>
          <w:rFonts w:ascii="Times New Roman" w:cs="Times New Roman" w:hAnsi="Times New Roman"/>
          <w:i/>
          <w:color w:val="000000"/>
          <w:sz w:val="24"/>
          <w:szCs w:val="24"/>
        </w:rPr>
        <w:t>et al.,</w:t>
      </w:r>
      <w:r>
        <w:rPr>
          <w:rFonts w:ascii="Times New Roman" w:cs="Times New Roman" w:hAnsi="Times New Roman"/>
          <w:color w:val="000000"/>
          <w:sz w:val="24"/>
          <w:szCs w:val="24"/>
        </w:rPr>
        <w:t xml:space="preserve"> (2020) who found uropathogens in females (50.7%) more than males. This increased incidence of E. coli in UTI has been alluded to its presence</w:t>
      </w:r>
      <w:r>
        <w:rPr>
          <w:rFonts w:ascii="Times New Roman" w:cs="Times New Roman" w:hAnsi="Times New Roman"/>
          <w:i/>
          <w:iCs/>
          <w:color w:val="000000"/>
          <w:sz w:val="24"/>
          <w:szCs w:val="24"/>
        </w:rPr>
        <w:t xml:space="preserve"> </w:t>
      </w:r>
      <w:r>
        <w:rPr>
          <w:rFonts w:ascii="Times New Roman" w:cs="Times New Roman" w:hAnsi="Times New Roman"/>
          <w:color w:val="000000"/>
          <w:sz w:val="24"/>
          <w:szCs w:val="24"/>
        </w:rPr>
        <w:t>in the vaginal and rectal area</w:t>
      </w:r>
      <w:r>
        <w:rPr>
          <w:rFonts w:ascii="Times New Roman" w:cs="Times New Roman" w:hAnsi="Times New Roman"/>
          <w:color w:val="000000"/>
          <w:sz w:val="24"/>
          <w:szCs w:val="24"/>
        </w:rPr>
        <w:t xml:space="preserve"> as well as </w:t>
      </w:r>
      <w:r>
        <w:rPr>
          <w:rFonts w:ascii="Times New Roman" w:cs="Times New Roman" w:hAnsi="Times New Roman"/>
          <w:color w:val="000000"/>
          <w:sz w:val="24"/>
          <w:szCs w:val="24"/>
        </w:rPr>
        <w:t>the shortness of female urethra (</w:t>
      </w:r>
      <w:r>
        <w:rPr>
          <w:rFonts w:ascii="Times New Roman" w:cs="Times New Roman" w:hAnsi="Times New Roman"/>
          <w:color w:val="000000"/>
          <w:sz w:val="24"/>
          <w:szCs w:val="24"/>
        </w:rPr>
        <w:t>Muhammed</w:t>
      </w:r>
      <w:r>
        <w:rPr>
          <w:rFonts w:ascii="Times New Roman" w:cs="Times New Roman" w:hAnsi="Times New Roman"/>
          <w:color w:val="000000"/>
          <w:sz w:val="24"/>
          <w:szCs w:val="24"/>
        </w:rPr>
        <w:t xml:space="preserve"> et al., 2020).</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 xml:space="preserve">Contrary to our observation, Johnson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(2021) isolated </w:t>
      </w:r>
      <w:r>
        <w:rPr>
          <w:rFonts w:ascii="Times New Roman" w:cs="Times New Roman" w:hAnsi="Times New Roman"/>
          <w:i/>
          <w:iCs/>
          <w:color w:val="000000"/>
          <w:sz w:val="24"/>
          <w:szCs w:val="24"/>
        </w:rPr>
        <w:t xml:space="preserve">Klebsiella pneumonia </w:t>
      </w:r>
      <w:r>
        <w:rPr>
          <w:rFonts w:ascii="Times New Roman" w:cs="Times New Roman" w:hAnsi="Times New Roman"/>
          <w:color w:val="000000"/>
          <w:sz w:val="24"/>
          <w:szCs w:val="24"/>
        </w:rPr>
        <w:t xml:space="preserve">(37.41%) as the most frequent Gram negative organism. </w:t>
      </w:r>
      <w:r>
        <w:rPr>
          <w:rFonts w:ascii="Times New Roman" w:cs="Times New Roman" w:hAnsi="Times New Roman"/>
          <w:i/>
          <w:iCs/>
          <w:color w:val="000000"/>
          <w:sz w:val="24"/>
          <w:szCs w:val="24"/>
        </w:rPr>
        <w:t>Klebsiella spp</w:t>
      </w:r>
      <w:r>
        <w:rPr>
          <w:rFonts w:ascii="Times New Roman" w:cs="Times New Roman" w:hAnsi="Times New Roman"/>
          <w:color w:val="000000"/>
          <w:sz w:val="24"/>
          <w:szCs w:val="24"/>
        </w:rPr>
        <w:t xml:space="preserve">. is now known to emerge as a dominant community acquired uropathogen (Kaduma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2019; Taye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2018), although observed as the second most prevalent bacteria 10 (18.5%) isolated in this study. Its emergence has also been linked to the presence of inherent factors like siderophore, types 1and 3 fimbrae, biofilm formation and capsules (Johnson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2021). Other Gram negative bacteria isolated were </w:t>
      </w:r>
      <w:r>
        <w:rPr>
          <w:rFonts w:ascii="Times New Roman" w:cs="Times New Roman" w:hAnsi="Times New Roman"/>
          <w:i/>
          <w:iCs/>
          <w:color w:val="000000"/>
          <w:sz w:val="24"/>
          <w:szCs w:val="24"/>
        </w:rPr>
        <w:t xml:space="preserve">Proteus mirabilis </w:t>
      </w:r>
      <w:r>
        <w:rPr>
          <w:rFonts w:ascii="Times New Roman" w:cs="Times New Roman" w:hAnsi="Times New Roman"/>
          <w:color w:val="000000"/>
          <w:sz w:val="24"/>
          <w:szCs w:val="24"/>
        </w:rPr>
        <w:t xml:space="preserve">4 (7.4%) and </w:t>
      </w:r>
      <w:r>
        <w:rPr>
          <w:rFonts w:ascii="Times New Roman" w:cs="Times New Roman" w:hAnsi="Times New Roman"/>
          <w:i/>
          <w:iCs/>
          <w:color w:val="000000"/>
          <w:sz w:val="24"/>
          <w:szCs w:val="24"/>
        </w:rPr>
        <w:t>Pseudomonas spp</w:t>
      </w:r>
      <w:r>
        <w:rPr>
          <w:rFonts w:ascii="Times New Roman" w:cs="Times New Roman" w:hAnsi="Times New Roman"/>
          <w:color w:val="000000"/>
          <w:sz w:val="24"/>
          <w:szCs w:val="24"/>
        </w:rPr>
        <w:t xml:space="preserve">. 3 (5.6%). Their involvement in UTI among pregnant women had also been reported (Ali </w:t>
      </w:r>
      <w:r>
        <w:rPr>
          <w:rFonts w:ascii="Times New Roman" w:cs="Times New Roman" w:hAnsi="Times New Roman"/>
          <w:i/>
          <w:iCs/>
          <w:color w:val="000000"/>
          <w:sz w:val="24"/>
          <w:szCs w:val="24"/>
        </w:rPr>
        <w:t>et</w:t>
      </w:r>
    </w:p>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i/>
          <w:iCs/>
          <w:color w:val="000000"/>
          <w:sz w:val="24"/>
          <w:szCs w:val="24"/>
        </w:rPr>
        <w:t>al</w:t>
      </w:r>
      <w:r>
        <w:rPr>
          <w:rFonts w:ascii="Times New Roman" w:cs="Times New Roman" w:hAnsi="Times New Roman"/>
          <w:color w:val="000000"/>
          <w:sz w:val="24"/>
          <w:szCs w:val="24"/>
        </w:rPr>
        <w:t xml:space="preserve">., 2022; Johnson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2021).</w:t>
      </w:r>
    </w:p>
    <w:p>
      <w:pPr>
        <w:pStyle w:val="style0"/>
        <w:autoSpaceDE w:val="false"/>
        <w:autoSpaceDN w:val="false"/>
        <w:adjustRightInd w:val="false"/>
        <w:spacing w:after="0" w:lineRule="auto" w:line="240"/>
        <w:rPr>
          <w:rFonts w:ascii="Times New Roman" w:cs="Times New Roman" w:hAnsi="Times New Roman"/>
          <w:i/>
          <w:iCs/>
          <w:color w:val="000000"/>
          <w:sz w:val="24"/>
          <w:szCs w:val="24"/>
        </w:rPr>
      </w:pPr>
    </w:p>
    <w:p>
      <w:pPr>
        <w:pStyle w:val="style0"/>
        <w:autoSpaceDE w:val="false"/>
        <w:autoSpaceDN w:val="false"/>
        <w:adjustRightInd w:val="false"/>
        <w:spacing w:after="0" w:lineRule="auto" w:line="240"/>
        <w:rPr>
          <w:rFonts w:ascii="Times New Roman" w:cs="Times New Roman" w:hAnsi="Times New Roman"/>
          <w:color w:val="000000"/>
          <w:sz w:val="24"/>
          <w:szCs w:val="24"/>
        </w:rPr>
      </w:pPr>
      <w:r>
        <w:rPr>
          <w:rFonts w:ascii="Times New Roman" w:cs="Times New Roman" w:hAnsi="Times New Roman"/>
          <w:iCs/>
          <w:color w:val="000000"/>
          <w:sz w:val="24"/>
          <w:szCs w:val="24"/>
        </w:rPr>
        <w:t xml:space="preserve">Staphylococcus </w:t>
      </w:r>
      <w:r>
        <w:rPr>
          <w:rFonts w:ascii="Times New Roman" w:cs="Times New Roman" w:hAnsi="Times New Roman"/>
          <w:iCs/>
          <w:color w:val="000000"/>
          <w:sz w:val="24"/>
          <w:szCs w:val="24"/>
        </w:rPr>
        <w:t>aureus</w:t>
      </w:r>
      <w:r>
        <w:rPr>
          <w:rFonts w:ascii="Times New Roman" w:cs="Times New Roman" w:hAnsi="Times New Roman"/>
          <w:i/>
          <w:iCs/>
          <w:color w:val="000000"/>
          <w:sz w:val="24"/>
          <w:szCs w:val="24"/>
        </w:rPr>
        <w:t xml:space="preserve"> </w:t>
      </w:r>
      <w:r>
        <w:rPr>
          <w:rFonts w:ascii="Times New Roman" w:cs="Times New Roman" w:hAnsi="Times New Roman"/>
          <w:color w:val="000000"/>
          <w:sz w:val="24"/>
          <w:szCs w:val="24"/>
        </w:rPr>
        <w:t>was the most common</w:t>
      </w:r>
      <w:r>
        <w:rPr>
          <w:rFonts w:ascii="Times New Roman" w:cs="Times New Roman" w:hAnsi="Times New Roman"/>
          <w:color w:val="000000"/>
          <w:sz w:val="24"/>
          <w:szCs w:val="24"/>
        </w:rPr>
        <w:t xml:space="preserve"> Gram positive bacteria 24 (44.4%) isolated. This finding is supported by the reports of Johnson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(2021</w:t>
      </w:r>
      <w:r>
        <w:rPr>
          <w:rFonts w:ascii="Times New Roman" w:cs="Times New Roman" w:hAnsi="Times New Roman"/>
          <w:color w:val="000000"/>
          <w:sz w:val="24"/>
          <w:szCs w:val="24"/>
        </w:rPr>
        <w:t xml:space="preserve">) and </w:t>
      </w:r>
      <w:r>
        <w:rPr>
          <w:rFonts w:ascii="Times New Roman" w:cs="Times New Roman" w:hAnsi="Times New Roman"/>
          <w:color w:val="000000"/>
          <w:sz w:val="24"/>
          <w:szCs w:val="24"/>
        </w:rPr>
        <w:t>Muhammed</w:t>
      </w:r>
      <w:r>
        <w:rPr>
          <w:rFonts w:ascii="Times New Roman" w:cs="Times New Roman" w:hAnsi="Times New Roman"/>
          <w:color w:val="000000"/>
          <w:sz w:val="24"/>
          <w:szCs w:val="24"/>
        </w:rPr>
        <w:t xml:space="preserve"> (2015), who </w:t>
      </w:r>
      <w:r>
        <w:rPr>
          <w:rFonts w:ascii="Times New Roman" w:cs="Times New Roman" w:hAnsi="Times New Roman"/>
          <w:color w:val="000000"/>
          <w:sz w:val="24"/>
          <w:szCs w:val="24"/>
        </w:rPr>
        <w:t xml:space="preserve">recorded </w:t>
      </w:r>
      <w:r>
        <w:rPr>
          <w:rFonts w:ascii="Times New Roman" w:cs="Times New Roman" w:hAnsi="Times New Roman"/>
          <w:i/>
          <w:iCs/>
          <w:color w:val="000000"/>
          <w:sz w:val="24"/>
          <w:szCs w:val="24"/>
        </w:rPr>
        <w:t xml:space="preserve">S. aureus </w:t>
      </w:r>
      <w:r>
        <w:rPr>
          <w:rFonts w:ascii="Times New Roman" w:cs="Times New Roman" w:hAnsi="Times New Roman"/>
          <w:color w:val="000000"/>
          <w:sz w:val="24"/>
          <w:szCs w:val="24"/>
        </w:rPr>
        <w:t xml:space="preserve">as the only Gram positive bacteria isolated in their work. As suggested by Kaambo and Charlene (2017) and Top </w:t>
      </w:r>
      <w:r>
        <w:rPr>
          <w:rFonts w:ascii="Times New Roman" w:cs="Times New Roman" w:hAnsi="Times New Roman"/>
          <w:i/>
          <w:iCs/>
          <w:color w:val="000000"/>
          <w:sz w:val="24"/>
          <w:szCs w:val="24"/>
        </w:rPr>
        <w:t>et al</w:t>
      </w:r>
      <w:r>
        <w:rPr>
          <w:rFonts w:ascii="Times New Roman" w:cs="Times New Roman" w:hAnsi="Times New Roman"/>
          <w:color w:val="000000"/>
          <w:sz w:val="24"/>
          <w:szCs w:val="24"/>
        </w:rPr>
        <w:t xml:space="preserve">. (2012), the high incidence of </w:t>
      </w:r>
      <w:r>
        <w:rPr>
          <w:rFonts w:ascii="Times New Roman" w:cs="Times New Roman" w:hAnsi="Times New Roman"/>
          <w:i/>
          <w:iCs/>
          <w:color w:val="000000"/>
          <w:sz w:val="24"/>
          <w:szCs w:val="24"/>
        </w:rPr>
        <w:t>S. aureus</w:t>
      </w:r>
      <w:r>
        <w:rPr>
          <w:rFonts w:ascii="Times New Roman" w:cs="Times New Roman" w:hAnsi="Times New Roman"/>
          <w:color w:val="000000"/>
          <w:sz w:val="24"/>
          <w:szCs w:val="24"/>
        </w:rPr>
        <w:t xml:space="preserve"> may be attributed to the rate of vaginal carriage of </w:t>
      </w:r>
      <w:r>
        <w:rPr>
          <w:rFonts w:ascii="Times New Roman" w:cs="Times New Roman" w:hAnsi="Times New Roman"/>
          <w:i/>
          <w:iCs/>
          <w:color w:val="000000"/>
          <w:sz w:val="24"/>
          <w:szCs w:val="24"/>
        </w:rPr>
        <w:t>S. aureus</w:t>
      </w:r>
      <w:r>
        <w:rPr>
          <w:rFonts w:ascii="Times New Roman" w:cs="Times New Roman" w:hAnsi="Times New Roman"/>
          <w:color w:val="000000"/>
          <w:sz w:val="24"/>
          <w:szCs w:val="24"/>
        </w:rPr>
        <w:t>, which has been reported to be 4% - 22% of the vaginal microbiota in pregnant women (Muhammed, 2015)</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Frankly speaking, antimicrobial resistance (MDR) currently constitutes a continuous global health challenge with a</w:t>
      </w:r>
      <w:r>
        <w:rPr>
          <w:rFonts w:ascii="Times New Roman" w:cs="Times New Roman" w:hAnsi="Times New Roman"/>
          <w:b/>
          <w:color w:val="000000"/>
          <w:sz w:val="24"/>
          <w:szCs w:val="24"/>
        </w:rPr>
        <w:t xml:space="preserve"> </w:t>
      </w:r>
      <w:r>
        <w:rPr>
          <w:rFonts w:ascii="Times New Roman" w:cs="Times New Roman" w:hAnsi="Times New Roman"/>
          <w:color w:val="000000"/>
          <w:sz w:val="24"/>
          <w:szCs w:val="24"/>
        </w:rPr>
        <w:t xml:space="preserve">world concern. </w:t>
      </w:r>
      <w:r>
        <w:rPr>
          <w:rFonts w:ascii="Times New Roman" w:cs="Times New Roman" w:hAnsi="Times New Roman"/>
          <w:color w:val="000000"/>
          <w:sz w:val="24"/>
          <w:szCs w:val="24"/>
        </w:rPr>
        <w:t>A</w:t>
      </w:r>
      <w:r>
        <w:rPr>
          <w:rFonts w:ascii="Times New Roman" w:cs="Times New Roman" w:hAnsi="Times New Roman"/>
          <w:color w:val="000000"/>
          <w:sz w:val="24"/>
          <w:szCs w:val="24"/>
        </w:rPr>
        <w:t xml:space="preserve">ccording to the study carried out by the european survey of antibiotic consumption, </w:t>
      </w:r>
      <w:r>
        <w:rPr>
          <w:rFonts w:ascii="Times New Roman" w:cs="Times New Roman" w:hAnsi="Times New Roman"/>
          <w:color w:val="000000"/>
          <w:sz w:val="24"/>
          <w:szCs w:val="24"/>
        </w:rPr>
        <w:t>MDR</w:t>
      </w:r>
      <w:r>
        <w:rPr>
          <w:rFonts w:ascii="Times New Roman" w:cs="Times New Roman" w:hAnsi="Times New Roman"/>
          <w:color w:val="000000"/>
          <w:sz w:val="24"/>
          <w:szCs w:val="24"/>
        </w:rPr>
        <w:t xml:space="preserve"> bacterial strains in complicated </w:t>
      </w:r>
      <w:r>
        <w:rPr>
          <w:rFonts w:ascii="Times New Roman" w:cs="Times New Roman" w:hAnsi="Times New Roman"/>
          <w:color w:val="000000"/>
          <w:sz w:val="24"/>
          <w:szCs w:val="24"/>
        </w:rPr>
        <w:t>UTIs</w:t>
      </w:r>
      <w:r>
        <w:rPr>
          <w:rFonts w:ascii="Times New Roman" w:cs="Times New Roman" w:hAnsi="Times New Roman"/>
          <w:color w:val="000000"/>
          <w:sz w:val="24"/>
          <w:szCs w:val="24"/>
        </w:rPr>
        <w:t xml:space="preserve"> are responsible for the mortalit</w:t>
      </w:r>
      <w:r>
        <w:rPr>
          <w:rFonts w:ascii="Times New Roman" w:cs="Times New Roman" w:hAnsi="Times New Roman"/>
          <w:color w:val="000000"/>
          <w:sz w:val="24"/>
          <w:szCs w:val="24"/>
        </w:rPr>
        <w:t>y rate of approximately 25 000 E</w:t>
      </w:r>
      <w:r>
        <w:rPr>
          <w:rFonts w:ascii="Times New Roman" w:cs="Times New Roman" w:hAnsi="Times New Roman"/>
          <w:color w:val="000000"/>
          <w:sz w:val="24"/>
          <w:szCs w:val="24"/>
        </w:rPr>
        <w:t>uropeans/year</w:t>
      </w:r>
      <w:r>
        <w:rPr>
          <w:rFonts w:ascii="Times New Roman" w:cs="Times New Roman" w:hAnsi="Times New Roman"/>
          <w:color w:val="000000"/>
          <w:sz w:val="24"/>
          <w:szCs w:val="24"/>
        </w:rPr>
        <w:t>.</w:t>
      </w:r>
      <w:r>
        <w:rPr>
          <w:rFonts w:ascii="Times New Roman" w:cs="Times New Roman" w:hAnsi="Times New Roman"/>
          <w:b/>
          <w:color w:val="000000"/>
          <w:sz w:val="24"/>
          <w:szCs w:val="24"/>
        </w:rPr>
        <w:t xml:space="preserve"> </w:t>
      </w:r>
      <w:r>
        <w:rPr>
          <w:rFonts w:ascii="Times New Roman" w:cs="Times New Roman" w:hAnsi="Times New Roman"/>
          <w:sz w:val="24"/>
          <w:szCs w:val="24"/>
        </w:rPr>
        <w:t>In our study t</w:t>
      </w:r>
      <w:r>
        <w:rPr>
          <w:rFonts w:ascii="Times New Roman" w:cs="Times New Roman" w:hAnsi="Times New Roman"/>
          <w:sz w:val="24"/>
          <w:szCs w:val="24"/>
        </w:rPr>
        <w:t>here was very high level of antibiotic resistance by the bacteria isolated. Ciprofloxacin was the most susceptible antibiotics by both gram positive and gram negative bacteria hence is recommended for empirical use in</w:t>
      </w:r>
      <w:r>
        <w:rPr>
          <w:rFonts w:ascii="Times New Roman" w:cs="Times New Roman" w:hAnsi="Times New Roman"/>
          <w:sz w:val="24"/>
          <w:szCs w:val="24"/>
        </w:rPr>
        <w:t xml:space="preserve"> </w:t>
      </w:r>
      <w:r>
        <w:rPr>
          <w:rFonts w:ascii="Times New Roman" w:cs="Times New Roman" w:hAnsi="Times New Roman"/>
          <w:sz w:val="24"/>
          <w:szCs w:val="24"/>
        </w:rPr>
        <w:t>case of suspected</w:t>
      </w:r>
      <w:r>
        <w:rPr>
          <w:rFonts w:ascii="Times New Roman" w:cs="Times New Roman" w:hAnsi="Times New Roman"/>
          <w:sz w:val="24"/>
          <w:szCs w:val="24"/>
        </w:rPr>
        <w:t xml:space="preserve"> UTI.</w:t>
      </w:r>
      <w:r>
        <w:rPr>
          <w:rFonts w:ascii="Times New Roman" w:cs="Times New Roman" w:hAnsi="Times New Roman"/>
          <w:color w:val="000000"/>
          <w:sz w:val="24"/>
          <w:szCs w:val="24"/>
        </w:rPr>
        <w:t xml:space="preserve"> The knowledge of the microorganism involves and antibiograms are important for the empirical treatment of UTIs (Muhammad et al., 2020).</w:t>
      </w:r>
    </w:p>
    <w:p>
      <w:pPr>
        <w:pStyle w:val="style4100"/>
        <w:spacing w:after="0"/>
        <w:jc w:val="both"/>
        <w:rPr>
          <w:rFonts w:ascii="Times New Roman" w:hAnsi="Times New Roman"/>
          <w:color w:val="000000"/>
          <w:sz w:val="24"/>
          <w:szCs w:val="24"/>
        </w:rPr>
      </w:pPr>
    </w:p>
    <w:p>
      <w:pPr>
        <w:pStyle w:val="style4100"/>
        <w:spacing w:after="0"/>
        <w:jc w:val="both"/>
        <w:rPr>
          <w:rFonts w:ascii="Times New Roman" w:hAnsi="Times New Roman"/>
          <w:color w:val="000000"/>
          <w:sz w:val="24"/>
          <w:szCs w:val="24"/>
        </w:rPr>
      </w:pPr>
      <w:r>
        <w:rPr>
          <w:rFonts w:ascii="Times New Roman" w:hAnsi="Times New Roman"/>
          <w:color w:val="000000"/>
          <w:sz w:val="24"/>
          <w:szCs w:val="24"/>
        </w:rPr>
        <w:t>4. Conclusion</w:t>
      </w:r>
    </w:p>
    <w:p>
      <w:pPr>
        <w:pStyle w:val="style0"/>
        <w:autoSpaceDE w:val="false"/>
        <w:autoSpaceDN w:val="false"/>
        <w:adjustRightInd w:val="false"/>
        <w:spacing w:after="0" w:lineRule="auto" w:line="240"/>
        <w:rPr>
          <w:rFonts w:ascii="Times New Roman" w:cs="Times New Roman" w:hAnsi="Times New Roman"/>
          <w:sz w:val="24"/>
          <w:szCs w:val="24"/>
        </w:rPr>
      </w:pPr>
      <w:r>
        <w:rPr>
          <w:rFonts w:ascii="Times New Roman" w:cs="Times New Roman" w:hAnsi="Times New Roman"/>
          <w:sz w:val="24"/>
          <w:szCs w:val="24"/>
        </w:rPr>
        <w:t>Put together,</w:t>
      </w:r>
      <w:r>
        <w:rPr>
          <w:rFonts w:ascii="Times New Roman" w:cs="Times New Roman" w:hAnsi="Times New Roman"/>
          <w:sz w:val="24"/>
          <w:szCs w:val="24"/>
        </w:rPr>
        <w:t xml:space="preserve"> in our study, the</w:t>
      </w:r>
      <w:r>
        <w:rPr>
          <w:rFonts w:ascii="Times New Roman" w:cs="Times New Roman" w:hAnsi="Times New Roman"/>
          <w:sz w:val="24"/>
          <w:szCs w:val="24"/>
        </w:rPr>
        <w:t xml:space="preserve"> most common isolated pathogens </w:t>
      </w:r>
      <w:r>
        <w:rPr>
          <w:rFonts w:ascii="Times New Roman" w:cs="Times New Roman" w:hAnsi="Times New Roman"/>
          <w:sz w:val="24"/>
          <w:szCs w:val="24"/>
        </w:rPr>
        <w:t xml:space="preserve">among outpatients were </w:t>
      </w:r>
      <w:r>
        <w:rPr>
          <w:rFonts w:ascii="Times New Roman" w:cs="Times New Roman" w:hAnsi="Times New Roman"/>
          <w:sz w:val="24"/>
          <w:szCs w:val="24"/>
        </w:rPr>
        <w:t>Gram-positive Stap</w:t>
      </w:r>
      <w:r>
        <w:rPr>
          <w:rFonts w:ascii="Times New Roman" w:cs="Times New Roman" w:hAnsi="Times New Roman"/>
          <w:sz w:val="24"/>
          <w:szCs w:val="24"/>
        </w:rPr>
        <w:t>hylococcus aureus</w:t>
      </w:r>
      <w:r>
        <w:rPr>
          <w:rFonts w:ascii="Times New Roman" w:cs="Times New Roman" w:hAnsi="Times New Roman"/>
          <w:sz w:val="24"/>
          <w:szCs w:val="24"/>
        </w:rPr>
        <w:t xml:space="preserve"> </w:t>
      </w:r>
      <w:r>
        <w:rPr>
          <w:rFonts w:ascii="Times New Roman" w:cs="Times New Roman" w:hAnsi="Times New Roman"/>
          <w:sz w:val="24"/>
          <w:szCs w:val="24"/>
        </w:rPr>
        <w:t xml:space="preserve">followed by </w:t>
      </w:r>
      <w:r>
        <w:rPr>
          <w:rFonts w:ascii="Times New Roman" w:cs="Times New Roman" w:hAnsi="Times New Roman"/>
          <w:sz w:val="24"/>
          <w:szCs w:val="24"/>
        </w:rPr>
        <w:t xml:space="preserve">Gram-negative </w:t>
      </w:r>
      <w:r>
        <w:rPr>
          <w:rFonts w:ascii="Times New Roman" w:cs="Times New Roman" w:hAnsi="Times New Roman"/>
          <w:sz w:val="24"/>
          <w:szCs w:val="24"/>
        </w:rPr>
        <w:t>E. coli. Second</w:t>
      </w:r>
      <w:r>
        <w:rPr>
          <w:rFonts w:ascii="Times New Roman" w:cs="Times New Roman" w:hAnsi="Times New Roman"/>
          <w:sz w:val="24"/>
          <w:szCs w:val="24"/>
        </w:rPr>
        <w:t>ly</w:t>
      </w:r>
      <w:r>
        <w:rPr>
          <w:rFonts w:ascii="Times New Roman" w:cs="Times New Roman" w:hAnsi="Times New Roman"/>
          <w:sz w:val="24"/>
          <w:szCs w:val="24"/>
        </w:rPr>
        <w:t>, there was very high level of antibiotic resistance by the bacteria isolated. Ciprofloxacin was the most susceptible antibiotics by both gram positive and gram negative bacteria hence is recommended for empirical use in</w:t>
      </w:r>
      <w:r>
        <w:rPr>
          <w:rFonts w:ascii="Times New Roman" w:cs="Times New Roman" w:hAnsi="Times New Roman"/>
          <w:sz w:val="24"/>
          <w:szCs w:val="24"/>
        </w:rPr>
        <w:t xml:space="preserve"> </w:t>
      </w:r>
      <w:bookmarkStart w:id="1" w:name="_GoBack"/>
      <w:bookmarkEnd w:id="1"/>
      <w:r>
        <w:rPr>
          <w:rFonts w:ascii="Times New Roman" w:cs="Times New Roman" w:hAnsi="Times New Roman"/>
          <w:sz w:val="24"/>
          <w:szCs w:val="24"/>
        </w:rPr>
        <w:t>case of suspected UTI prior to release of urine microscopy culture and sensitivity result. Emergence of MDR organ</w:t>
      </w:r>
      <w:r>
        <w:rPr>
          <w:rFonts w:ascii="Times New Roman" w:cs="Times New Roman" w:hAnsi="Times New Roman"/>
          <w:sz w:val="24"/>
          <w:szCs w:val="24"/>
        </w:rPr>
        <w:t xml:space="preserve">isms, </w:t>
      </w:r>
      <w:r>
        <w:rPr>
          <w:rFonts w:ascii="Times New Roman" w:cs="Times New Roman" w:hAnsi="Times New Roman"/>
          <w:sz w:val="24"/>
          <w:szCs w:val="24"/>
        </w:rPr>
        <w:t xml:space="preserve">which we reported in our study, </w:t>
      </w:r>
      <w:r>
        <w:rPr>
          <w:rFonts w:ascii="Times New Roman" w:cs="Times New Roman" w:hAnsi="Times New Roman"/>
          <w:sz w:val="24"/>
          <w:szCs w:val="24"/>
        </w:rPr>
        <w:t>threatens the management of pa</w:t>
      </w:r>
      <w:r>
        <w:rPr>
          <w:rFonts w:ascii="Times New Roman" w:cs="Times New Roman" w:hAnsi="Times New Roman"/>
          <w:sz w:val="24"/>
          <w:szCs w:val="24"/>
        </w:rPr>
        <w:t>tients with UTIs. Overall,</w:t>
      </w:r>
      <w:r>
        <w:rPr>
          <w:rFonts w:ascii="Times New Roman" w:cs="Times New Roman" w:hAnsi="Times New Roman"/>
          <w:sz w:val="24"/>
          <w:szCs w:val="24"/>
        </w:rPr>
        <w:t xml:space="preserve"> this study will help physicians in prescribing</w:t>
      </w:r>
      <w:r>
        <w:rPr>
          <w:rFonts w:ascii="Times New Roman" w:cs="Times New Roman" w:hAnsi="Times New Roman"/>
          <w:sz w:val="24"/>
          <w:szCs w:val="24"/>
        </w:rPr>
        <w:t xml:space="preserve"> </w:t>
      </w:r>
      <w:r>
        <w:rPr>
          <w:rFonts w:ascii="Times New Roman" w:cs="Times New Roman" w:hAnsi="Times New Roman"/>
          <w:sz w:val="24"/>
          <w:szCs w:val="24"/>
        </w:rPr>
        <w:t>appropriate antibiotics for the</w:t>
      </w:r>
      <w:r>
        <w:rPr>
          <w:rFonts w:ascii="Times New Roman" w:cs="Times New Roman" w:hAnsi="Times New Roman"/>
          <w:sz w:val="24"/>
          <w:szCs w:val="24"/>
        </w:rPr>
        <w:t xml:space="preserve"> treatment of UTIs. </w:t>
      </w:r>
    </w:p>
    <w:p>
      <w:pPr>
        <w:pStyle w:val="style4100"/>
        <w:spacing w:after="0"/>
        <w:jc w:val="both"/>
        <w:rPr>
          <w:rFonts w:ascii="Times New Roman" w:hAnsi="Times New Roman"/>
          <w:color w:val="000000"/>
          <w:sz w:val="24"/>
          <w:szCs w:val="24"/>
        </w:rPr>
      </w:pPr>
    </w:p>
    <w:p>
      <w:pPr>
        <w:pStyle w:val="style4101"/>
        <w:spacing w:after="0"/>
        <w:jc w:val="both"/>
        <w:rPr>
          <w:rFonts w:ascii="Times New Roman" w:hAnsi="Times New Roman"/>
          <w:color w:val="000000"/>
          <w:sz w:val="24"/>
          <w:szCs w:val="24"/>
        </w:rPr>
      </w:pPr>
    </w:p>
    <w:p>
      <w:pPr>
        <w:pStyle w:val="style4101"/>
        <w:spacing w:after="0"/>
        <w:jc w:val="both"/>
        <w:rPr>
          <w:rFonts w:ascii="Times New Roman" w:hAnsi="Times New Roman"/>
          <w:color w:val="000000"/>
          <w:sz w:val="24"/>
          <w:szCs w:val="24"/>
        </w:rPr>
      </w:pPr>
      <w:r>
        <w:rPr>
          <w:rFonts w:ascii="Times New Roman" w:hAnsi="Times New Roman"/>
          <w:color w:val="000000"/>
          <w:sz w:val="24"/>
          <w:szCs w:val="24"/>
        </w:rPr>
        <w:t>AcknowledgEments</w:t>
      </w:r>
    </w:p>
    <w:p>
      <w:pPr>
        <w:pStyle w:val="style4101"/>
        <w:spacing w:after="0"/>
        <w:jc w:val="both"/>
        <w:rPr>
          <w:rFonts w:ascii="Times New Roman" w:hAnsi="Times New Roman"/>
          <w:color w:val="000000"/>
          <w:sz w:val="24"/>
          <w:szCs w:val="24"/>
        </w:rPr>
      </w:pPr>
    </w:p>
    <w:p>
      <w:pPr>
        <w:pStyle w:val="style4101"/>
        <w:spacing w:after="0"/>
        <w:jc w:val="both"/>
        <w:rPr>
          <w:rFonts w:ascii="Times New Roman" w:hAnsi="Times New Roman"/>
          <w:b w:val="false"/>
          <w:color w:val="000000"/>
          <w:sz w:val="24"/>
          <w:szCs w:val="24"/>
        </w:rPr>
      </w:pPr>
      <w:r>
        <w:rPr>
          <w:rFonts w:ascii="Times New Roman" w:hAnsi="Times New Roman"/>
          <w:b w:val="false"/>
          <w:caps w:val="false"/>
          <w:color w:val="000000"/>
          <w:sz w:val="24"/>
          <w:szCs w:val="24"/>
        </w:rPr>
        <w:t>The researchers acknowledge all the Staff of Medical Microbiology Division and CDCR Federal Medical Centre Asaba tor their cooperation</w:t>
      </w:r>
    </w:p>
    <w:p>
      <w:pPr>
        <w:pStyle w:val="style4102"/>
        <w:spacing w:after="0"/>
        <w:jc w:val="both"/>
        <w:rPr>
          <w:rFonts w:ascii="Times New Roman" w:hAnsi="Times New Roman"/>
          <w:bCs/>
          <w:color w:val="000000"/>
          <w:sz w:val="24"/>
          <w:szCs w:val="24"/>
        </w:rPr>
      </w:pPr>
    </w:p>
    <w:p>
      <w:pPr>
        <w:pStyle w:val="style4102"/>
        <w:spacing w:after="0"/>
        <w:jc w:val="both"/>
        <w:rPr>
          <w:rFonts w:ascii="Times New Roman" w:hAnsi="Times New Roman"/>
          <w:bCs/>
          <w:color w:val="000000"/>
          <w:sz w:val="24"/>
          <w:szCs w:val="24"/>
        </w:rPr>
      </w:pPr>
      <w:r>
        <w:rPr>
          <w:rFonts w:ascii="Times New Roman" w:hAnsi="Times New Roman"/>
          <w:bCs/>
          <w:color w:val="000000"/>
          <w:sz w:val="24"/>
          <w:szCs w:val="24"/>
        </w:rPr>
        <w:t>Competing interests</w:t>
      </w:r>
    </w:p>
    <w:p>
      <w:pPr>
        <w:pStyle w:val="style4102"/>
        <w:spacing w:after="0"/>
        <w:jc w:val="both"/>
        <w:rPr>
          <w:rFonts w:ascii="Times New Roman" w:hAnsi="Times New Roman"/>
          <w:b w:val="false"/>
          <w:caps w:val="false"/>
          <w:color w:val="000000"/>
          <w:sz w:val="24"/>
          <w:szCs w:val="24"/>
        </w:rPr>
      </w:pPr>
      <w:r>
        <w:rPr>
          <w:rFonts w:ascii="Times New Roman" w:hAnsi="Times New Roman"/>
          <w:b w:val="false"/>
          <w:caps w:val="false"/>
          <w:color w:val="000000"/>
          <w:sz w:val="24"/>
          <w:szCs w:val="24"/>
        </w:rPr>
        <w:t>Authors have declared that no competing interests exist.</w:t>
      </w:r>
    </w:p>
    <w:p>
      <w:pPr>
        <w:pStyle w:val="style4102"/>
        <w:spacing w:after="0"/>
        <w:jc w:val="both"/>
        <w:rPr>
          <w:rFonts w:ascii="Times New Roman" w:hAnsi="Times New Roman"/>
          <w:bCs/>
          <w:color w:val="000000"/>
          <w:sz w:val="24"/>
          <w:szCs w:val="24"/>
        </w:rPr>
      </w:pPr>
    </w:p>
    <w:p>
      <w:pPr>
        <w:pStyle w:val="style4102"/>
        <w:spacing w:after="0"/>
        <w:jc w:val="both"/>
        <w:rPr>
          <w:rFonts w:ascii="Times New Roman" w:hAnsi="Times New Roman"/>
          <w:bCs/>
          <w:color w:val="000000"/>
          <w:sz w:val="24"/>
          <w:szCs w:val="24"/>
        </w:rPr>
      </w:pPr>
      <w:r>
        <w:rPr>
          <w:rFonts w:ascii="Times New Roman" w:hAnsi="Times New Roman"/>
          <w:bCs/>
          <w:color w:val="000000"/>
          <w:sz w:val="24"/>
          <w:szCs w:val="24"/>
        </w:rPr>
        <w:t xml:space="preserve">Ethical approval </w:t>
      </w:r>
    </w:p>
    <w:p>
      <w:pPr>
        <w:pStyle w:val="style4102"/>
        <w:spacing w:after="0"/>
        <w:jc w:val="both"/>
        <w:rPr>
          <w:rFonts w:ascii="Times New Roman" w:eastAsia="Calibri" w:hAnsi="Times New Roman"/>
          <w:bCs/>
          <w:color w:val="000000"/>
          <w:sz w:val="24"/>
          <w:szCs w:val="24"/>
        </w:rPr>
      </w:pPr>
    </w:p>
    <w:p>
      <w:pPr>
        <w:pStyle w:val="style4102"/>
        <w:spacing w:after="0"/>
        <w:jc w:val="both"/>
        <w:rPr>
          <w:rFonts w:ascii="Times New Roman" w:hAnsi="Times New Roman"/>
          <w:b w:val="false"/>
          <w:caps w:val="false"/>
          <w:color w:val="000000"/>
          <w:sz w:val="24"/>
          <w:szCs w:val="24"/>
        </w:rPr>
      </w:pPr>
      <w:r>
        <w:rPr>
          <w:rFonts w:ascii="Times New Roman" w:eastAsia="Calibri" w:hAnsi="Times New Roman"/>
          <w:b w:val="false"/>
          <w:bCs/>
          <w:caps w:val="false"/>
          <w:color w:val="000000"/>
          <w:sz w:val="24"/>
          <w:szCs w:val="24"/>
        </w:rPr>
        <w:t>Ethical clearance permitting the conduct of this study was approved by</w:t>
      </w:r>
      <w:r>
        <w:rPr>
          <w:rFonts w:ascii="Times New Roman" w:eastAsia="Calibri" w:hAnsi="Times New Roman"/>
          <w:b w:val="false"/>
          <w:bCs/>
          <w:caps w:val="false"/>
          <w:color w:val="000000"/>
          <w:sz w:val="24"/>
          <w:szCs w:val="24"/>
        </w:rPr>
        <w:t xml:space="preserve"> research and ethics of Federal Medical Centre Asaba.</w:t>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References</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Najafabadi MP, Dagoohian A, Rajaie S, Esfahani SHZ, Edalati M. (2018).</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Common microbial causes of significant bacteriuria and their antibiotic</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resistance pattern in the Isfahan Province of Iran. J Chemother 30:348–53.</w:t>
      </w:r>
    </w:p>
    <w:p>
      <w:pPr>
        <w:pStyle w:val="style0"/>
        <w:jc w:val="both"/>
        <w:rPr>
          <w:rFonts w:ascii="Times New Roman" w:cs="Times New Roman" w:hAnsi="Times New Roman"/>
          <w:color w:val="000000"/>
          <w:sz w:val="24"/>
          <w:szCs w:val="24"/>
        </w:rPr>
      </w:pPr>
    </w:p>
    <w:p>
      <w:pPr>
        <w:pStyle w:val="style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Muhammad, A., Khan, S. N., Ali, N., Rehman, M. U., &amp; Ali, I. (2020). Prevalence and antibiotic susceptibility pattern of uropathogens in outpatients at a tertiary care hospital. </w:t>
      </w:r>
      <w:r>
        <w:rPr>
          <w:rFonts w:ascii="Times New Roman" w:cs="Times New Roman" w:hAnsi="Times New Roman"/>
          <w:i/>
          <w:iCs/>
          <w:color w:val="000000"/>
          <w:sz w:val="24"/>
          <w:szCs w:val="24"/>
          <w:shd w:val="clear" w:color="auto" w:fill="ffffff"/>
        </w:rPr>
        <w:t>New Microbes and new infections</w:t>
      </w:r>
      <w:r>
        <w:rPr>
          <w:rFonts w:ascii="Times New Roman" w:cs="Times New Roman" w:hAnsi="Times New Roman"/>
          <w:color w:val="000000"/>
          <w:sz w:val="24"/>
          <w:szCs w:val="24"/>
          <w:shd w:val="clear" w:color="auto" w:fill="ffffff"/>
        </w:rPr>
        <w:t>, </w:t>
      </w:r>
      <w:r>
        <w:rPr>
          <w:rFonts w:ascii="Times New Roman" w:cs="Times New Roman" w:hAnsi="Times New Roman"/>
          <w:i/>
          <w:iCs/>
          <w:color w:val="000000"/>
          <w:sz w:val="24"/>
          <w:szCs w:val="24"/>
          <w:shd w:val="clear" w:color="auto" w:fill="ffffff"/>
        </w:rPr>
        <w:t>36</w:t>
      </w:r>
      <w:r>
        <w:rPr>
          <w:rFonts w:ascii="Times New Roman" w:cs="Times New Roman" w:hAnsi="Times New Roman"/>
          <w:color w:val="000000"/>
          <w:sz w:val="24"/>
          <w:szCs w:val="24"/>
          <w:shd w:val="clear" w:color="auto" w:fill="ffffff"/>
        </w:rPr>
        <w:t>, 100716.</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Tandogdu Z, Wagenlehner FM. (2016). Global epidemiology of urinary tract infections. Curr Opin Infect Dis 29:73–9.</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Arjunan M, Salamah A, Amuthan M. (2010). Prevalence and antibiotics susceptibility of uropathogens in patients from a rural environment, Tamilnadu. Am J Infect Dis;6:29–33.</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Lichtenberger P, Hooton TM. (2008) Complicated urinary tract infections. Curr Infect Dis Rep 10:499–504.</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Mireles ALF, Walker JN, Caparon M, Hultgren SJ. (2015). Urinary tract infections:epidemiology, mechanisms of infection, and treatment options.Nat Rev Microbiol 13:269–84.</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Prah JK, Amoah S, Ocansey DW, Arthur R, Walker E, Yeboah DO. (2019). Evaluation of urinalysis parameters and antimicrobial susceptibility of uropathogens among out-patients at the University of cape coast hospital. Ghana Med J 53:44–51.</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Spellberg B, Bartlett JG, Gilbert DN. (2013).The future of antibiotics and</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resistance. N Engl J Med 368:299–302.</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shd w:val="clear" w:color="auto" w:fill="ffffff"/>
        </w:rPr>
      </w:pPr>
      <w:r>
        <w:rPr>
          <w:rFonts w:ascii="Times New Roman" w:cs="Times New Roman" w:hAnsi="Times New Roman"/>
          <w:color w:val="000000"/>
          <w:sz w:val="24"/>
          <w:szCs w:val="24"/>
          <w:shd w:val="clear" w:color="auto" w:fill="ffffff"/>
        </w:rPr>
        <w:t>Ogbukagu, C. M., Anakwenze, V. N., Ekwealor, C. C., Ezemba, C. C., &amp; Ekwealor, I. A. (2016). Incidence of urinary tract infections (UTI) amongst patients attending primary health centres in Anambra state. </w:t>
      </w:r>
      <w:r>
        <w:rPr>
          <w:rFonts w:ascii="Times New Roman" w:cs="Times New Roman" w:hAnsi="Times New Roman"/>
          <w:i/>
          <w:iCs/>
          <w:color w:val="000000"/>
          <w:sz w:val="24"/>
          <w:szCs w:val="24"/>
          <w:shd w:val="clear" w:color="auto" w:fill="ffffff"/>
        </w:rPr>
        <w:t>Advances in Microbiology</w:t>
      </w:r>
      <w:r>
        <w:rPr>
          <w:rFonts w:ascii="Times New Roman" w:cs="Times New Roman" w:hAnsi="Times New Roman"/>
          <w:color w:val="000000"/>
          <w:sz w:val="24"/>
          <w:szCs w:val="24"/>
          <w:shd w:val="clear" w:color="auto" w:fill="ffffff"/>
        </w:rPr>
        <w:t>, </w:t>
      </w:r>
      <w:r>
        <w:rPr>
          <w:rFonts w:ascii="Times New Roman" w:cs="Times New Roman" w:hAnsi="Times New Roman"/>
          <w:i/>
          <w:iCs/>
          <w:color w:val="000000"/>
          <w:sz w:val="24"/>
          <w:szCs w:val="24"/>
          <w:shd w:val="clear" w:color="auto" w:fill="ffffff"/>
        </w:rPr>
        <w:t>6</w:t>
      </w:r>
      <w:r>
        <w:rPr>
          <w:rFonts w:ascii="Times New Roman" w:cs="Times New Roman" w:hAnsi="Times New Roman"/>
          <w:color w:val="000000"/>
          <w:sz w:val="24"/>
          <w:szCs w:val="24"/>
          <w:shd w:val="clear" w:color="auto" w:fill="ffffff"/>
        </w:rPr>
        <w:t>(7), 537-547</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shd w:val="clear" w:color="auto" w:fill="ffffff"/>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shd w:val="clear" w:color="auto" w:fill="ffffff"/>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shd w:val="clear" w:color="auto" w:fill="ffffff"/>
        </w:rPr>
        <w:t>.</w:t>
      </w:r>
      <w:r>
        <w:rPr>
          <w:rFonts w:ascii="Times New Roman" w:cs="Times New Roman" w:hAnsi="Times New Roman"/>
          <w:color w:val="000000"/>
          <w:sz w:val="24"/>
          <w:szCs w:val="24"/>
        </w:rPr>
        <w:t xml:space="preserve"> Kashef N, Djavid GE, Shahbazi S. Antimicrobial susceptibility patterns</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of community-acquired uropathogens in Tehran, Iran. J Infect Dev</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color w:val="000000"/>
          <w:sz w:val="24"/>
          <w:szCs w:val="24"/>
        </w:rPr>
        <w:t>Countries 2010;4:202–6.</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Ekwealor C. C., Alaribe O. J., Ogbukagu C. M., Alaribe J. R., Kyrian-Ogbonna E. A. (2021): </w:t>
      </w:r>
      <w:r>
        <w:rPr>
          <w:rFonts w:ascii="Times New Roman" w:cs="Times New Roman" w:hAnsi="Times New Roman"/>
          <w:color w:val="000000"/>
          <w:sz w:val="24"/>
          <w:szCs w:val="24"/>
        </w:rPr>
        <w:t>Urinary tract infections</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and antimicrobial sensitivity patterns of uropathogens isolated</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from diabetic and non-diabetic patients attending some</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hospitals in Awka. American J. Microb. Res. 9(3), 83-91</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Johnson B, Stephen B. M., Joseph N., Asiphad O., Musa K., Taseera K. (2021): </w:t>
      </w:r>
      <w:r>
        <w:rPr>
          <w:rFonts w:ascii="Times New Roman" w:cs="Times New Roman" w:hAnsi="Times New Roman"/>
          <w:color w:val="000000"/>
          <w:sz w:val="24"/>
          <w:szCs w:val="24"/>
        </w:rPr>
        <w:t>Prevalence and bacteriology of</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culture-positive urinary tract infections among pregnant women wit suspected urinary tract infection at Mbarara</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regional referral hospital, South-West Uganda. BMC Pregnancy Childbirth 21, 159.</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Thakur S., Nepal K. L. (2020): </w:t>
      </w:r>
      <w:r>
        <w:rPr>
          <w:rFonts w:ascii="Times New Roman" w:cs="Times New Roman" w:hAnsi="Times New Roman"/>
          <w:color w:val="000000"/>
          <w:sz w:val="24"/>
          <w:szCs w:val="24"/>
        </w:rPr>
        <w:t>Urinary tract infection in pregnant women at Kathmandu, Nepal J. Med. Care Res. Rev. 3(9), 454-458</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Vicar E. K., Acquah S. E. K., Wallana W., Kuugbee E. D., Osbutey E. K., Aidoo A., Acheampong E., Mensah G. I. (2023): </w:t>
      </w:r>
      <w:r>
        <w:rPr>
          <w:rFonts w:ascii="Times New Roman" w:cs="Times New Roman" w:hAnsi="Times New Roman"/>
          <w:color w:val="000000"/>
          <w:sz w:val="24"/>
          <w:szCs w:val="24"/>
        </w:rPr>
        <w:t>Urinary tract infection and associated factors among</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pregnant women receiving antenatal care at a primary health</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care facility in the Northern Region of Ghana. Inter. J.</w:t>
      </w:r>
      <w:r>
        <w:rPr>
          <w:rFonts w:ascii="Times New Roman" w:cs="Times New Roman" w:hAnsi="Times New Roman"/>
          <w:b/>
          <w:bCs/>
          <w:color w:val="000000"/>
          <w:sz w:val="24"/>
          <w:szCs w:val="24"/>
        </w:rPr>
        <w:t xml:space="preserve"> </w:t>
      </w:r>
      <w:r>
        <w:rPr>
          <w:rFonts w:ascii="Times New Roman" w:cs="Times New Roman" w:hAnsi="Times New Roman"/>
          <w:color w:val="000000"/>
          <w:sz w:val="24"/>
          <w:szCs w:val="24"/>
        </w:rPr>
        <w:t>Microbiol. 2, 3727265</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p>
      <w:pPr>
        <w:pStyle w:val="style0"/>
        <w:autoSpaceDE w:val="false"/>
        <w:autoSpaceDN w:val="false"/>
        <w:adjustRightInd w:val="false"/>
        <w:spacing w:after="0" w:lineRule="auto" w:line="240"/>
        <w:jc w:val="both"/>
        <w:rPr>
          <w:rFonts w:ascii="Times New Roman" w:cs="Times New Roman" w:hAnsi="Times New Roman"/>
          <w:b/>
          <w:bCs/>
          <w:color w:val="000000"/>
          <w:sz w:val="24"/>
          <w:szCs w:val="24"/>
        </w:rPr>
      </w:pPr>
      <w:r>
        <w:rPr>
          <w:rFonts w:ascii="Times New Roman" w:cs="Times New Roman" w:hAnsi="Times New Roman"/>
          <w:color w:val="000000"/>
          <w:sz w:val="24"/>
          <w:szCs w:val="24"/>
          <w:shd w:val="clear" w:color="auto" w:fill="ffffff"/>
        </w:rPr>
        <w:t>Ekwealor, C. C., Okonkwo, C. I., Anyaoha, V. I., &amp; Nwofor, M. N. (2024). Urinary Tract Infection and Antibiotic Susceptibility Profile of Uropathogens among Pregnant Women in Ogidi, Southeast Nigeria. </w:t>
      </w:r>
      <w:r>
        <w:rPr>
          <w:rFonts w:ascii="Times New Roman" w:cs="Times New Roman" w:hAnsi="Times New Roman"/>
          <w:i/>
          <w:iCs/>
          <w:color w:val="000000"/>
          <w:sz w:val="24"/>
          <w:szCs w:val="24"/>
          <w:shd w:val="clear" w:color="auto" w:fill="ffffff"/>
        </w:rPr>
        <w:t>African Journal of Biomedical Research</w:t>
      </w:r>
      <w:r>
        <w:rPr>
          <w:rFonts w:ascii="Times New Roman" w:cs="Times New Roman" w:hAnsi="Times New Roman"/>
          <w:color w:val="000000"/>
          <w:sz w:val="24"/>
          <w:szCs w:val="24"/>
          <w:shd w:val="clear" w:color="auto" w:fill="ffffff"/>
        </w:rPr>
        <w:t>, </w:t>
      </w:r>
      <w:r>
        <w:rPr>
          <w:rFonts w:ascii="Times New Roman" w:cs="Times New Roman" w:hAnsi="Times New Roman"/>
          <w:i/>
          <w:iCs/>
          <w:color w:val="000000"/>
          <w:sz w:val="24"/>
          <w:szCs w:val="24"/>
          <w:shd w:val="clear" w:color="auto" w:fill="ffffff"/>
        </w:rPr>
        <w:t>27</w:t>
      </w:r>
      <w:r>
        <w:rPr>
          <w:rFonts w:ascii="Times New Roman" w:cs="Times New Roman" w:hAnsi="Times New Roman"/>
          <w:color w:val="000000"/>
          <w:sz w:val="24"/>
          <w:szCs w:val="24"/>
          <w:shd w:val="clear" w:color="auto" w:fill="ffffff"/>
        </w:rPr>
        <w:t>(1), 21-27.</w:t>
      </w:r>
    </w:p>
    <w:p>
      <w:pPr>
        <w:pStyle w:val="style0"/>
        <w:autoSpaceDE w:val="false"/>
        <w:autoSpaceDN w:val="false"/>
        <w:adjustRightInd w:val="false"/>
        <w:spacing w:after="0" w:lineRule="auto" w:line="240"/>
        <w:jc w:val="both"/>
        <w:rPr>
          <w:rFonts w:ascii="Times New Roman" w:cs="Times New Roman" w:hAnsi="Times New Roman"/>
          <w:color w:val="000000"/>
          <w:sz w:val="24"/>
          <w:szCs w:val="24"/>
        </w:rPr>
      </w:pPr>
    </w:p>
    <w:sectPr>
      <w:type w:val="continuous"/>
      <w:pgSz w:w="12240" w:h="15840" w:orient="portrait"/>
      <w:pgMar w:top="1440" w:right="1440" w:bottom="1440" w:left="1440" w:header="720" w:footer="720" w:gutter="0"/>
      <w:cols w:space="720" w:num="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libri">
    <w:altName w:val="Calibri"/>
    <w:panose1 w:val="020f0502020002030204"/>
    <w:charset w:val="00"/>
    <w:family w:val="swiss"/>
    <w:pitch w:val="variable"/>
    <w:sig w:usb0="E4002EFF" w:usb1="C000247B" w:usb2="00000009" w:usb3="00000000" w:csb0="000001FF" w:csb1="00000000"/>
  </w:font>
  <w:font w:name="Helvetica">
    <w:altName w:val="Helvetica"/>
    <w:panose1 w:val="020b0604020002020204"/>
    <w:charset w:val="00"/>
    <w:family w:val="swiss"/>
    <w:pitch w:val="variable"/>
    <w:sig w:usb0="E0002EFF" w:usb1="C000785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SimSun" w:hAnsi="Times New Roman"/>
        <w:lang w:val="en-US" w:bidi="ar-SA" w:eastAsia="en-GB"/>
      </w:rPr>
    </w:rPrDefault>
    <w:pPrDefault>
      <w:pPr/>
    </w:pPrDefault>
  </w:docDefaults>
  <w:style w:type="paragraph" w:default="1" w:styleId="style0">
    <w:name w:val="Normal"/>
    <w:next w:val="style0"/>
    <w:qFormat/>
    <w:pPr>
      <w:spacing w:after="160" w:lineRule="auto" w:line="259"/>
    </w:pPr>
    <w:rPr>
      <w:rFonts w:ascii="Calibri" w:cs="SimSun" w:eastAsia="Calibri" w:hAnsi="Calibri"/>
      <w:sz w:val="22"/>
      <w:szCs w:val="22"/>
      <w:lang w:eastAsia="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table" w:styleId="style154">
    <w:name w:val="Table Grid"/>
    <w:basedOn w:val="style105"/>
    <w:next w:val="style154"/>
    <w:uiPriority w:val="39"/>
    <w:pPr/>
    <w:rPr>
      <w:rFonts w:ascii="Calibri" w:cs="SimSun" w:eastAsia="Calibri" w:hAnsi="Calibri"/>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097">
    <w:name w:val="Header Char_cbf176d4-9612-4783-8884-d128f9b3b161"/>
    <w:basedOn w:val="style65"/>
    <w:next w:val="style4097"/>
    <w:link w:val="style31"/>
    <w:uiPriority w:val="99"/>
  </w:style>
  <w:style w:type="character" w:customStyle="1" w:styleId="style4098">
    <w:name w:val="Footer Char_6f6a5e38-4912-4c94-b95a-f5ddad6f7335"/>
    <w:basedOn w:val="style65"/>
    <w:next w:val="style4098"/>
    <w:link w:val="style32"/>
    <w:uiPriority w:val="99"/>
  </w:style>
  <w:style w:type="paragraph" w:customStyle="1" w:styleId="style4099">
    <w:name w:val="Body"/>
    <w:basedOn w:val="style0"/>
    <w:next w:val="style4099"/>
    <w:pPr>
      <w:spacing w:after="240" w:lineRule="auto" w:line="240"/>
      <w:jc w:val="both"/>
    </w:pPr>
    <w:rPr>
      <w:rFonts w:ascii="Helvetica" w:cs="Times New Roman" w:eastAsia="Times New Roman" w:hAnsi="Helvetica"/>
      <w:sz w:val="20"/>
      <w:szCs w:val="20"/>
    </w:rPr>
  </w:style>
  <w:style w:type="paragraph" w:customStyle="1" w:styleId="style4100">
    <w:name w:val="Conc Head"/>
    <w:basedOn w:val="style0"/>
    <w:next w:val="style4100"/>
    <w:pPr>
      <w:keepNext/>
      <w:spacing w:after="240" w:lineRule="auto" w:line="240"/>
    </w:pPr>
    <w:rPr>
      <w:rFonts w:ascii="Helvetica" w:cs="Times New Roman" w:eastAsia="Times New Roman" w:hAnsi="Helvetica"/>
      <w:b/>
      <w:caps/>
      <w:szCs w:val="20"/>
    </w:rPr>
  </w:style>
  <w:style w:type="paragraph" w:customStyle="1" w:styleId="style4101">
    <w:name w:val="Ackn Head"/>
    <w:basedOn w:val="style0"/>
    <w:next w:val="style4101"/>
    <w:pPr>
      <w:keepNext/>
      <w:spacing w:after="240" w:lineRule="auto" w:line="240"/>
    </w:pPr>
    <w:rPr>
      <w:rFonts w:ascii="Helvetica" w:cs="Times New Roman" w:eastAsia="Times New Roman" w:hAnsi="Helvetica"/>
      <w:b/>
      <w:caps/>
      <w:szCs w:val="20"/>
    </w:rPr>
  </w:style>
  <w:style w:type="paragraph" w:customStyle="1" w:styleId="style4102">
    <w:name w:val="Refer Head"/>
    <w:basedOn w:val="style0"/>
    <w:next w:val="style4102"/>
    <w:pPr>
      <w:keepNext/>
      <w:spacing w:after="240" w:lineRule="auto" w:line="240"/>
    </w:pPr>
    <w:rPr>
      <w:rFonts w:ascii="Helvetica" w:cs="Times New Roman" w:eastAsia="Times New Roman" w:hAnsi="Helvetica"/>
      <w:b/>
      <w:caps/>
      <w:szCs w:val="20"/>
    </w:rPr>
  </w:style>
  <w:style w:type="paragraph" w:customStyle="1" w:styleId="style4103">
    <w:name w:val="Default"/>
    <w:next w:val="style4103"/>
    <w:pPr>
      <w:autoSpaceDE w:val="false"/>
      <w:autoSpaceDN w:val="false"/>
      <w:adjustRightInd w:val="false"/>
    </w:pPr>
    <w:rPr>
      <w:rFonts w:ascii="Arial" w:cs="Arial" w:hAnsi="Arial"/>
      <w:color w:val="000000"/>
      <w:sz w:val="24"/>
      <w:szCs w:val="24"/>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chart" Target="charts/chart1.xml"/><Relationship Id="rId3" Type="http://schemas.openxmlformats.org/officeDocument/2006/relationships/chart" Target="charts/chart2.xml"/><Relationship Id="rId4" Type="http://schemas.openxmlformats.org/officeDocument/2006/relationships/chart" Target="charts/chart3.xml"/><Relationship Id="rId11" Type="http://schemas.openxmlformats.org/officeDocument/2006/relationships/customXml" Target="../customXml/item1.xml"/><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chart" Target="charts/chart4.xml"/><Relationship Id="rId6" Type="http://schemas.openxmlformats.org/officeDocument/2006/relationships/chart" Target="charts/chart5.xml"/><Relationship Id="rId7" Type="http://schemas.openxmlformats.org/officeDocument/2006/relationships/styles" Target="styles.xml"/><Relationship Id="rId8" Type="http://schemas.openxmlformats.org/officeDocument/2006/relationships/fontTable" Target="fontTable.xml"/></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4.xlsx"/><Relationship Id="rId2" Type="http://schemas.microsoft.com/office/2011/relationships/chartStyle" Target="style4.xml"/><Relationship Id="rId3" Type="http://schemas.microsoft.com/office/2011/relationships/chartColorStyle" Target="colors4.xml"/></Relationships>
</file>

<file path=word/charts/_rels/chart2.xml.rels><?xml version="1.0" encoding="UTF-8"?>
<Relationships xmlns="http://schemas.openxmlformats.org/package/2006/relationships"><Relationship Id="rId1" Type="http://schemas.openxmlformats.org/officeDocument/2006/relationships/package" Target="../embeddings/Microsoft_Excel____3.xlsx"/><Relationship Id="rId2" Type="http://schemas.microsoft.com/office/2011/relationships/chartStyle" Target="style3.xml"/><Relationship Id="rId3" Type="http://schemas.microsoft.com/office/2011/relationships/chartColorStyle" Target="colors3.xml"/></Relationships>
</file>

<file path=word/charts/_rels/chart3.xml.rels><?xml version="1.0" encoding="UTF-8"?>
<Relationships xmlns="http://schemas.openxmlformats.org/package/2006/relationships"><Relationship Id="rId1" Type="http://schemas.openxmlformats.org/officeDocument/2006/relationships/package" Target="../embeddings/Microsoft_Excel____1.xlsx"/><Relationship Id="rId2" Type="http://schemas.microsoft.com/office/2011/relationships/chartStyle" Target="style1.xml"/><Relationship Id="rId3" Type="http://schemas.microsoft.com/office/2011/relationships/chartColorStyle" Target="colors1.xml"/></Relationships>
</file>

<file path=word/charts/_rels/chart4.xml.rels><?xml version="1.0" encoding="UTF-8"?>
<Relationships xmlns="http://schemas.openxmlformats.org/package/2006/relationships"><Relationship Id="rId1" Type="http://schemas.openxmlformats.org/officeDocument/2006/relationships/package" Target="../embeddings/Microsoft_Excel____5.xlsx"/><Relationship Id="rId2" Type="http://schemas.microsoft.com/office/2011/relationships/chartStyle" Target="style5.xml"/><Relationship Id="rId3" Type="http://schemas.microsoft.com/office/2011/relationships/chartColorStyle" Target="colors5.xml"/></Relationships>
</file>

<file path=word/charts/_rels/chart5.xml.rels><?xml version="1.0" encoding="UTF-8"?>
<Relationships xmlns="http://schemas.openxmlformats.org/package/2006/relationships"><Relationship Id="rId1" Type="http://schemas.openxmlformats.org/officeDocument/2006/relationships/package" Target="../embeddings/Microsoft_Excel____2.xlsx"/><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Sheet3!$C$5</c:f>
              <c:strCache>
                <c:ptCount val="1"/>
                <c:pt idx="0">
                  <c:v>Male</c:v>
                </c:pt>
              </c:strCache>
            </c:strRef>
          </c:tx>
          <c:spPr>
            <a:solidFill>
              <a:schemeClr val="accent1"/>
            </a:solidFill>
            <a:ln>
              <a:noFill/>
            </a:ln>
            <a:effectLst/>
          </c:spPr>
          <c:invertIfNegative val="0"/>
          <c:cat>
            <c:strRef>
              <c:f>Sheet3!$B$6:$B$13</c:f>
              <c:strCache>
                <c:ptCount val="8"/>
                <c:pt idx="0">
                  <c:v>S. aureus</c:v>
                </c:pt>
                <c:pt idx="1">
                  <c:v>E.coli</c:v>
                </c:pt>
                <c:pt idx="2">
                  <c:v>Klebsiella</c:v>
                </c:pt>
                <c:pt idx="3">
                  <c:v>Pseudomonas aeruginosa</c:v>
                </c:pt>
                <c:pt idx="4">
                  <c:v>Proteus.SPP</c:v>
                </c:pt>
                <c:pt idx="5">
                  <c:v>Strep.SPP</c:v>
                </c:pt>
                <c:pt idx="6">
                  <c:v>Pantoea SPP</c:v>
                </c:pt>
                <c:pt idx="7">
                  <c:v>P.mirabis</c:v>
                </c:pt>
              </c:strCache>
            </c:strRef>
          </c:cat>
          <c:val>
            <c:numRef>
              <c:f>Sheet3!$C$6:$C$13</c:f>
              <c:numCache>
                <c:formatCode>General</c:formatCode>
                <c:ptCount val="8"/>
                <c:pt idx="0">
                  <c:v>285.0</c:v>
                </c:pt>
                <c:pt idx="1">
                  <c:v>294.0</c:v>
                </c:pt>
                <c:pt idx="2">
                  <c:v>62.0</c:v>
                </c:pt>
                <c:pt idx="3">
                  <c:v>29.0</c:v>
                </c:pt>
                <c:pt idx="4">
                  <c:v>13.0</c:v>
                </c:pt>
                <c:pt idx="5">
                  <c:v>0.0</c:v>
                </c:pt>
                <c:pt idx="6">
                  <c:v>0.0</c:v>
                </c:pt>
                <c:pt idx="7">
                  <c:v>0.0</c:v>
                </c:pt>
              </c:numCache>
            </c:numRef>
          </c:val>
        </c:ser>
        <c:ser>
          <c:idx val="1"/>
          <c:order val="1"/>
          <c:tx>
            <c:strRef>
              <c:f>Sheet3!$D$5</c:f>
              <c:strCache>
                <c:ptCount val="1"/>
                <c:pt idx="0">
                  <c:v>Female</c:v>
                </c:pt>
              </c:strCache>
            </c:strRef>
          </c:tx>
          <c:spPr>
            <a:solidFill>
              <a:schemeClr val="accent2"/>
            </a:solidFill>
            <a:ln>
              <a:noFill/>
            </a:ln>
            <a:effectLst/>
          </c:spPr>
          <c:invertIfNegative val="0"/>
          <c:cat>
            <c:strRef>
              <c:f>Sheet3!$B$6:$B$13</c:f>
              <c:strCache>
                <c:ptCount val="8"/>
                <c:pt idx="0">
                  <c:v>S. aureus</c:v>
                </c:pt>
                <c:pt idx="1">
                  <c:v>E.coli</c:v>
                </c:pt>
                <c:pt idx="2">
                  <c:v>Klebsiella</c:v>
                </c:pt>
                <c:pt idx="3">
                  <c:v>Pseudomonas aeruginosa</c:v>
                </c:pt>
                <c:pt idx="4">
                  <c:v>Proteus.SPP</c:v>
                </c:pt>
                <c:pt idx="5">
                  <c:v>Strep.SPP</c:v>
                </c:pt>
                <c:pt idx="6">
                  <c:v>Pantoea SPP</c:v>
                </c:pt>
                <c:pt idx="7">
                  <c:v>P.mirabis</c:v>
                </c:pt>
              </c:strCache>
            </c:strRef>
          </c:cat>
          <c:val>
            <c:numRef>
              <c:f>Sheet3!$D$6:$D$13</c:f>
              <c:numCache>
                <c:formatCode>General</c:formatCode>
                <c:ptCount val="8"/>
                <c:pt idx="0">
                  <c:v>622.0</c:v>
                </c:pt>
                <c:pt idx="1">
                  <c:v>592.0</c:v>
                </c:pt>
                <c:pt idx="2">
                  <c:v>170.0</c:v>
                </c:pt>
                <c:pt idx="3">
                  <c:v>25.0</c:v>
                </c:pt>
                <c:pt idx="4">
                  <c:v>17.0</c:v>
                </c:pt>
                <c:pt idx="5">
                  <c:v>2.0</c:v>
                </c:pt>
                <c:pt idx="6">
                  <c:v>1.0</c:v>
                </c:pt>
                <c:pt idx="7">
                  <c:v>1.0</c:v>
                </c:pt>
              </c:numCache>
            </c:numRef>
          </c:val>
        </c:ser>
        <c:dLbls>
          <c:showLegendKey val="0"/>
          <c:showVal val="0"/>
          <c:showCatName val="0"/>
          <c:showSerName val="0"/>
          <c:showPercent val="0"/>
          <c:showBubbleSize val="0"/>
        </c:dLbls>
        <c:gapWidth val="300"/>
        <c:axId val="324363088"/>
        <c:axId val="324363480"/>
      </c:barChart>
      <c:catAx>
        <c:axId val="32436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crossAx val="324363480"/>
        <c:crosses val="autoZero"/>
        <c:auto val="1"/>
        <c:lblAlgn val="ctr"/>
        <c:lblOffset val="100"/>
        <c:noMultiLvlLbl val="0"/>
      </c:catAx>
      <c:valAx>
        <c:axId val="3243634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x-none" sz="1000" b="0" i="0" u="none" strike="noStrike" kern="1200" baseline="0">
                    <a:solidFill>
                      <a:schemeClr val="tx1">
                        <a:lumMod val="65000"/>
                        <a:lumOff val="35000"/>
                      </a:schemeClr>
                    </a:solidFill>
                    <a:latin typeface="+mn-lt"/>
                    <a:ea typeface="+mn-ea"/>
                    <a:cs typeface="+mn-cs"/>
                  </a:defRPr>
                </a:pPr>
                <a:r>
                  <a:rPr lang="en-US"/>
                  <a:t>Number of isolates based on gender</a:t>
                </a:r>
              </a:p>
            </c:rich>
          </c:tx>
          <c:overlay val="0"/>
          <c:spPr>
            <a:noFill/>
            <a:ln>
              <a:noFill/>
            </a:ln>
            <a:effectLst/>
          </c:spPr>
          <c:txPr>
            <a:bodyPr rot="-5400000" spcFirstLastPara="1" vertOverflow="ellipsis" vert="horz" wrap="square" anchor="ctr" anchorCtr="1"/>
            <a:lstStyle/>
            <a:p>
              <a:pPr>
                <a:defRPr lang="x-none"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crossAx val="324363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x-none"/>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ciprofloxacin</a:t>
            </a:r>
          </a:p>
        </c:rich>
      </c:tx>
      <c:overlay val="0"/>
      <c:spPr>
        <a:noFill/>
        <a:ln>
          <a:noFill/>
        </a:ln>
        <a:effectLst/>
      </c:spPr>
      <c:txPr>
        <a:bodyPr rot="0" spcFirstLastPara="1" vertOverflow="ellipsis" vert="horz" wrap="square" anchor="ctr" anchorCtr="1"/>
        <a:lstStyle/>
        <a:p>
          <a:pPr>
            <a:defRPr lang="x-none"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Sheet2!$P$6</c:f>
              <c:strCache>
                <c:ptCount val="1"/>
                <c:pt idx="0">
                  <c:v>Resistance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Sheet2!$O$7:$O$14</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Sheet2!$P$7:$P$14</c:f>
              <c:numCache>
                <c:formatCode>General</c:formatCode>
                <c:ptCount val="8"/>
                <c:pt idx="0">
                  <c:v>530.0</c:v>
                </c:pt>
                <c:pt idx="1">
                  <c:v>528.0</c:v>
                </c:pt>
                <c:pt idx="2">
                  <c:v>128.0</c:v>
                </c:pt>
                <c:pt idx="3">
                  <c:v>35.0</c:v>
                </c:pt>
                <c:pt idx="4">
                  <c:v>15.0</c:v>
                </c:pt>
                <c:pt idx="5">
                  <c:v>0.0</c:v>
                </c:pt>
                <c:pt idx="6">
                  <c:v>0.0</c:v>
                </c:pt>
                <c:pt idx="7">
                  <c:v>1.0</c:v>
                </c:pt>
              </c:numCache>
            </c:numRef>
          </c:val>
        </c:ser>
        <c:ser>
          <c:idx val="1"/>
          <c:order val="1"/>
          <c:tx>
            <c:strRef>
              <c:f>Sheet2!$Q$6</c:f>
              <c:strCache>
                <c:ptCount val="1"/>
                <c:pt idx="0">
                  <c:v>Susceptible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Sheet2!$O$7:$O$14</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Sheet2!$Q$7:$Q$14</c:f>
              <c:numCache>
                <c:formatCode>General</c:formatCode>
                <c:ptCount val="8"/>
                <c:pt idx="0">
                  <c:v>117.0</c:v>
                </c:pt>
                <c:pt idx="1">
                  <c:v>179.0</c:v>
                </c:pt>
                <c:pt idx="2">
                  <c:v>63.0</c:v>
                </c:pt>
                <c:pt idx="3">
                  <c:v>12.0</c:v>
                </c:pt>
                <c:pt idx="4">
                  <c:v>7.0</c:v>
                </c:pt>
                <c:pt idx="5">
                  <c:v>1.0</c:v>
                </c:pt>
                <c:pt idx="6">
                  <c:v>1.0</c:v>
                </c:pt>
                <c:pt idx="7">
                  <c:v>0.0</c:v>
                </c:pt>
              </c:numCache>
            </c:numRef>
          </c:val>
        </c:ser>
        <c:dLbls>
          <c:showLegendKey val="0"/>
          <c:showVal val="0"/>
          <c:showCatName val="0"/>
          <c:showSerName val="0"/>
          <c:showPercent val="0"/>
          <c:showBubbleSize val="0"/>
        </c:dLbls>
        <c:gapWidth val="100"/>
        <c:overlap val="-24"/>
        <c:axId val="324362304"/>
        <c:axId val="429050256"/>
      </c:barChart>
      <c:catAx>
        <c:axId val="324362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x-none" sz="900" b="0" i="0" u="none" strike="noStrike" kern="1200" baseline="0">
                <a:solidFill>
                  <a:schemeClr val="lt1">
                    <a:lumMod val="85000"/>
                  </a:schemeClr>
                </a:solidFill>
                <a:latin typeface="+mn-lt"/>
                <a:ea typeface="+mn-ea"/>
                <a:cs typeface="+mn-cs"/>
              </a:defRPr>
            </a:pPr>
            <a:endParaRPr lang="en-US"/>
          </a:p>
        </c:txPr>
        <c:crossAx val="429050256"/>
        <c:crosses val="autoZero"/>
        <c:auto val="1"/>
        <c:lblAlgn val="ctr"/>
        <c:lblOffset val="100"/>
        <c:noMultiLvlLbl val="0"/>
      </c:catAx>
      <c:valAx>
        <c:axId val="4290502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lt1">
                    <a:lumMod val="85000"/>
                  </a:schemeClr>
                </a:solidFill>
                <a:latin typeface="+mn-lt"/>
                <a:ea typeface="+mn-ea"/>
                <a:cs typeface="+mn-cs"/>
              </a:defRPr>
            </a:pPr>
            <a:endParaRPr lang="en-US"/>
          </a:p>
        </c:txPr>
        <c:crossAx val="32436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x-none"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x-none"/>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r>
              <a:rPr lang="en-US"/>
              <a:t>Augmentin</a:t>
            </a:r>
          </a:p>
        </c:rich>
      </c:tx>
      <c:overlay val="0"/>
      <c:spPr>
        <a:noFill/>
        <a:ln>
          <a:noFill/>
        </a:ln>
        <a:effectLst/>
      </c:spPr>
      <c:txPr>
        <a:bodyPr rot="0" spcFirstLastPara="1" vertOverflow="ellipsis" vert="horz" wrap="square" anchor="ctr" anchorCtr="1"/>
        <a:lstStyle/>
        <a:p>
          <a:pPr>
            <a:defRPr lang="x-none"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Sheet2!$P$32</c:f>
              <c:strCache>
                <c:ptCount val="1"/>
                <c:pt idx="0">
                  <c:v>Resistance</c:v>
                </c:pt>
              </c:strCache>
            </c:strRef>
          </c:tx>
          <c:spPr>
            <a:solidFill>
              <a:schemeClr val="accent1"/>
            </a:solidFill>
            <a:ln>
              <a:noFill/>
            </a:ln>
            <a:effectLst/>
          </c:spPr>
          <c:invertIfNegative val="0"/>
          <c:cat>
            <c:strRef>
              <c:f>Sheet2!$O$33:$O$40</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Sheet2!$P$33:$P$40</c:f>
              <c:numCache>
                <c:formatCode>General</c:formatCode>
                <c:ptCount val="8"/>
                <c:pt idx="0">
                  <c:v>463.0</c:v>
                </c:pt>
                <c:pt idx="1">
                  <c:v>610.0</c:v>
                </c:pt>
                <c:pt idx="2">
                  <c:v>140.0</c:v>
                </c:pt>
                <c:pt idx="3">
                  <c:v>29.0</c:v>
                </c:pt>
                <c:pt idx="4">
                  <c:v>13.0</c:v>
                </c:pt>
                <c:pt idx="5">
                  <c:v>1.0</c:v>
                </c:pt>
                <c:pt idx="6">
                  <c:v>0.0</c:v>
                </c:pt>
                <c:pt idx="7">
                  <c:v>1.0</c:v>
                </c:pt>
              </c:numCache>
            </c:numRef>
          </c:val>
        </c:ser>
        <c:ser>
          <c:idx val="1"/>
          <c:order val="1"/>
          <c:tx>
            <c:strRef>
              <c:f>Sheet2!$Q$32</c:f>
              <c:strCache>
                <c:ptCount val="1"/>
                <c:pt idx="0">
                  <c:v>Susceptible</c:v>
                </c:pt>
              </c:strCache>
            </c:strRef>
          </c:tx>
          <c:spPr>
            <a:solidFill>
              <a:schemeClr val="accent2"/>
            </a:solidFill>
            <a:ln>
              <a:noFill/>
            </a:ln>
            <a:effectLst/>
          </c:spPr>
          <c:invertIfNegative val="0"/>
          <c:cat>
            <c:strRef>
              <c:f>Sheet2!$O$33:$O$40</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Sheet2!$Q$33:$Q$40</c:f>
              <c:numCache>
                <c:formatCode>General</c:formatCode>
                <c:ptCount val="8"/>
                <c:pt idx="0">
                  <c:v>95.0</c:v>
                </c:pt>
                <c:pt idx="1">
                  <c:v>31.0</c:v>
                </c:pt>
                <c:pt idx="2">
                  <c:v>1.0</c:v>
                </c:pt>
                <c:pt idx="3">
                  <c:v>1.0</c:v>
                </c:pt>
                <c:pt idx="4">
                  <c:v>0.0</c:v>
                </c:pt>
                <c:pt idx="5">
                  <c:v>0.0</c:v>
                </c:pt>
                <c:pt idx="6">
                  <c:v>0.0</c:v>
                </c:pt>
                <c:pt idx="7">
                  <c:v>0.0</c:v>
                </c:pt>
              </c:numCache>
            </c:numRef>
          </c:val>
        </c:ser>
        <c:dLbls>
          <c:showLegendKey val="0"/>
          <c:showVal val="0"/>
          <c:showCatName val="0"/>
          <c:showSerName val="0"/>
          <c:showPercent val="0"/>
          <c:showBubbleSize val="0"/>
        </c:dLbls>
        <c:gapWidth val="150"/>
        <c:axId val="429049472"/>
        <c:axId val="429049864"/>
      </c:barChart>
      <c:catAx>
        <c:axId val="42904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crossAx val="429049864"/>
        <c:crosses val="autoZero"/>
        <c:auto val="1"/>
        <c:lblAlgn val="ctr"/>
        <c:lblOffset val="100"/>
        <c:noMultiLvlLbl val="0"/>
      </c:catAx>
      <c:valAx>
        <c:axId val="429049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crossAx val="42904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x-none"/>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400" b="0" i="0" u="none" strike="noStrike" kern="1200" cap="none" spc="20" baseline="0">
                <a:solidFill>
                  <a:schemeClr val="tx1">
                    <a:lumMod val="50000"/>
                    <a:lumOff val="50000"/>
                  </a:schemeClr>
                </a:solidFill>
                <a:latin typeface="+mn-lt"/>
                <a:ea typeface="+mn-ea"/>
                <a:cs typeface="+mn-cs"/>
              </a:defRPr>
            </a:pPr>
            <a:r>
              <a:rPr lang="en-US"/>
              <a:t>Ofloxacin</a:t>
            </a:r>
          </a:p>
        </c:rich>
      </c:tx>
      <c:overlay val="0"/>
      <c:spPr>
        <a:noFill/>
        <a:ln>
          <a:noFill/>
        </a:ln>
        <a:effectLst/>
      </c:spPr>
      <c:txPr>
        <a:bodyPr rot="0" spcFirstLastPara="1" vertOverflow="ellipsis" vert="horz" wrap="square" anchor="ctr" anchorCtr="1"/>
        <a:lstStyle/>
        <a:p>
          <a:pPr>
            <a:defRPr lang="x-none"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Sheet2!$P$48</c:f>
              <c:strCache>
                <c:ptCount val="1"/>
                <c:pt idx="0">
                  <c:v>Resistance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Sheet2!$O$49:$O$56</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Sheet2!$P$49:$P$56</c:f>
              <c:numCache>
                <c:formatCode>General</c:formatCode>
                <c:ptCount val="8"/>
                <c:pt idx="0">
                  <c:v>608.0</c:v>
                </c:pt>
                <c:pt idx="1">
                  <c:v>526.0</c:v>
                </c:pt>
                <c:pt idx="2">
                  <c:v>120.0</c:v>
                </c:pt>
                <c:pt idx="3">
                  <c:v>38.0</c:v>
                </c:pt>
                <c:pt idx="4">
                  <c:v>14.0</c:v>
                </c:pt>
                <c:pt idx="5">
                  <c:v>1.0</c:v>
                </c:pt>
                <c:pt idx="6">
                  <c:v>0.0</c:v>
                </c:pt>
                <c:pt idx="7">
                  <c:v>1.0</c:v>
                </c:pt>
              </c:numCache>
            </c:numRef>
          </c:val>
        </c:ser>
        <c:ser>
          <c:idx val="1"/>
          <c:order val="1"/>
          <c:tx>
            <c:strRef>
              <c:f>Sheet2!$Q$48</c:f>
              <c:strCache>
                <c:ptCount val="1"/>
                <c:pt idx="0">
                  <c:v>Susceptible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strRef>
              <c:f>Sheet2!$O$49:$O$56</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Sheet2!$Q$49:$Q$56</c:f>
              <c:numCache>
                <c:formatCode>General</c:formatCode>
                <c:ptCount val="8"/>
                <c:pt idx="0">
                  <c:v>102.0</c:v>
                </c:pt>
                <c:pt idx="1">
                  <c:v>155.0</c:v>
                </c:pt>
                <c:pt idx="2">
                  <c:v>46.0</c:v>
                </c:pt>
                <c:pt idx="3">
                  <c:v>7.0</c:v>
                </c:pt>
                <c:pt idx="4">
                  <c:v>4.0</c:v>
                </c:pt>
                <c:pt idx="5">
                  <c:v>1.0</c:v>
                </c:pt>
                <c:pt idx="6">
                  <c:v>0.0</c:v>
                </c:pt>
                <c:pt idx="7">
                  <c:v>0.0</c:v>
                </c:pt>
              </c:numCache>
            </c:numRef>
          </c:val>
        </c:ser>
        <c:dLbls>
          <c:showLegendKey val="0"/>
          <c:showVal val="0"/>
          <c:showCatName val="0"/>
          <c:showSerName val="0"/>
          <c:showPercent val="0"/>
          <c:showBubbleSize val="0"/>
        </c:dLbls>
        <c:gapWidth val="150"/>
        <c:axId val="429048688"/>
        <c:axId val="429051040"/>
      </c:barChart>
      <c:catAx>
        <c:axId val="429048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tx1">
                    <a:lumMod val="50000"/>
                    <a:lumOff val="50000"/>
                  </a:schemeClr>
                </a:solidFill>
                <a:latin typeface="+mn-lt"/>
                <a:ea typeface="+mn-ea"/>
                <a:cs typeface="+mn-cs"/>
              </a:defRPr>
            </a:pPr>
            <a:endParaRPr lang="en-US"/>
          </a:p>
        </c:txPr>
        <c:crossAx val="429051040"/>
        <c:crosses val="autoZero"/>
        <c:auto val="1"/>
        <c:lblAlgn val="ctr"/>
        <c:lblOffset val="100"/>
        <c:noMultiLvlLbl val="0"/>
      </c:catAx>
      <c:valAx>
        <c:axId val="42905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tx1">
                    <a:lumMod val="50000"/>
                    <a:lumOff val="50000"/>
                  </a:schemeClr>
                </a:solidFill>
                <a:latin typeface="+mn-lt"/>
                <a:ea typeface="+mn-ea"/>
                <a:cs typeface="+mn-cs"/>
              </a:defRPr>
            </a:pPr>
            <a:endParaRPr lang="en-US"/>
          </a:p>
        </c:txPr>
        <c:crossAx val="42904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x-none"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x-none"/>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x-none"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Gentamicin</a:t>
            </a:r>
          </a:p>
        </c:rich>
      </c:tx>
      <c:overlay val="0"/>
      <c:spPr>
        <a:noFill/>
        <a:ln>
          <a:noFill/>
        </a:ln>
        <a:effectLst/>
      </c:spPr>
      <c:txPr>
        <a:bodyPr rot="0" spcFirstLastPara="1" vertOverflow="ellipsis" vert="horz" wrap="square" anchor="ctr" anchorCtr="1"/>
        <a:lstStyle/>
        <a:p>
          <a:pPr>
            <a:defRPr lang="x-none"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tx>
            <c:strRef>
              <c:f>Sheet2!$P$18</c:f>
              <c:strCache>
                <c:ptCount val="1"/>
                <c:pt idx="0">
                  <c:v>Resistance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Sheet2!$O$19:$O$26</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Sheet2!$P$19:$P$26</c:f>
              <c:numCache>
                <c:formatCode>General</c:formatCode>
                <c:ptCount val="8"/>
                <c:pt idx="0">
                  <c:v>499.0</c:v>
                </c:pt>
                <c:pt idx="1">
                  <c:v>509.0</c:v>
                </c:pt>
                <c:pt idx="2">
                  <c:v>156.0</c:v>
                </c:pt>
                <c:pt idx="3">
                  <c:v>39.0</c:v>
                </c:pt>
                <c:pt idx="4">
                  <c:v>12.0</c:v>
                </c:pt>
                <c:pt idx="5">
                  <c:v>1.0</c:v>
                </c:pt>
                <c:pt idx="6">
                  <c:v>1.0</c:v>
                </c:pt>
                <c:pt idx="7">
                  <c:v>1.0</c:v>
                </c:pt>
              </c:numCache>
            </c:numRef>
          </c:val>
        </c:ser>
        <c:ser>
          <c:idx val="1"/>
          <c:order val="1"/>
          <c:tx>
            <c:strRef>
              <c:f>Sheet2!$Q$18</c:f>
              <c:strCache>
                <c:ptCount val="1"/>
                <c:pt idx="0">
                  <c:v>Susceptible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Sheet2!$O$19:$O$26</c:f>
              <c:strCache>
                <c:ptCount val="8"/>
                <c:pt idx="0">
                  <c:v>S. aureus</c:v>
                </c:pt>
                <c:pt idx="1">
                  <c:v>E.coli</c:v>
                </c:pt>
                <c:pt idx="2">
                  <c:v>Klebsiella</c:v>
                </c:pt>
                <c:pt idx="3">
                  <c:v>Pseudomona aeruginosa</c:v>
                </c:pt>
                <c:pt idx="4">
                  <c:v>Proteus.SPP</c:v>
                </c:pt>
                <c:pt idx="5">
                  <c:v>Strep.SPP</c:v>
                </c:pt>
                <c:pt idx="6">
                  <c:v>Pantoea SPP</c:v>
                </c:pt>
                <c:pt idx="7">
                  <c:v>P.mirabis</c:v>
                </c:pt>
              </c:strCache>
            </c:strRef>
          </c:cat>
          <c:val>
            <c:numRef>
              <c:f>Sheet2!$Q$19:$Q$26</c:f>
              <c:numCache>
                <c:formatCode>General</c:formatCode>
                <c:ptCount val="8"/>
                <c:pt idx="0">
                  <c:v>119.0</c:v>
                </c:pt>
                <c:pt idx="1">
                  <c:v>117.0</c:v>
                </c:pt>
                <c:pt idx="2">
                  <c:v>29.0</c:v>
                </c:pt>
                <c:pt idx="3">
                  <c:v>6.0</c:v>
                </c:pt>
                <c:pt idx="4">
                  <c:v>6.0</c:v>
                </c:pt>
                <c:pt idx="5">
                  <c:v>1.0</c:v>
                </c:pt>
                <c:pt idx="6">
                  <c:v>0.0</c:v>
                </c:pt>
                <c:pt idx="7">
                  <c:v>0.0</c:v>
                </c:pt>
              </c:numCache>
            </c:numRef>
          </c:val>
        </c:ser>
        <c:dLbls>
          <c:showLegendKey val="0"/>
          <c:showVal val="0"/>
          <c:showCatName val="0"/>
          <c:showSerName val="0"/>
          <c:showPercent val="0"/>
          <c:showBubbleSize val="0"/>
        </c:dLbls>
        <c:gapWidth val="115"/>
        <c:overlap val="-20"/>
        <c:axId val="429047904"/>
        <c:axId val="429049080"/>
      </c:barChart>
      <c:catAx>
        <c:axId val="42904790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lang="x-none" sz="900" b="0" i="0" u="none" strike="noStrike" kern="1200" baseline="0">
                <a:solidFill>
                  <a:schemeClr val="lt1">
                    <a:lumMod val="85000"/>
                  </a:schemeClr>
                </a:solidFill>
                <a:latin typeface="+mn-lt"/>
                <a:ea typeface="+mn-ea"/>
                <a:cs typeface="+mn-cs"/>
              </a:defRPr>
            </a:pPr>
            <a:endParaRPr lang="en-US"/>
          </a:p>
        </c:txPr>
        <c:crossAx val="429049080"/>
        <c:crosses val="autoZero"/>
        <c:auto val="1"/>
        <c:lblAlgn val="ctr"/>
        <c:lblOffset val="100"/>
        <c:noMultiLvlLbl val="0"/>
      </c:catAx>
      <c:valAx>
        <c:axId val="42904908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x-none" sz="900" b="0" i="0" u="none" strike="noStrike" kern="1200" baseline="0">
                <a:solidFill>
                  <a:schemeClr val="lt1">
                    <a:lumMod val="85000"/>
                  </a:schemeClr>
                </a:solidFill>
                <a:latin typeface="+mn-lt"/>
                <a:ea typeface="+mn-ea"/>
                <a:cs typeface="+mn-cs"/>
              </a:defRPr>
            </a:pPr>
            <a:endParaRPr lang="en-US"/>
          </a:p>
        </c:txPr>
        <c:crossAx val="42904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x-none"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lang="x-none"/>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3198</Words>
  <Pages>10</Pages>
  <Characters>17757</Characters>
  <Application>WPS Office</Application>
  <DocSecurity>0</DocSecurity>
  <Paragraphs>541</Paragraphs>
  <ScaleCrop>false</ScaleCrop>
  <LinksUpToDate>false</LinksUpToDate>
  <CharactersWithSpaces>20614</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2024-11-11T09:11:01Z</dcterms:created>
  <dc:creator>Obu Sylvia</dc:creator>
  <lastModifiedBy>Redmi 8</lastModifiedBy>
  <dcterms:modified xsi:type="dcterms:W3CDTF">2024-11-11T09:11:16Z</dcterms:modified>
  <revision>17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d6e250f7046e4d198d4f8ccd37dab3db</vt:lpwstr>
  </property>
  <property fmtid="{D5CDD505-2E9C-101B-9397-08002B2CF9AE}" pid="3" name="KSOProductBuildVer">
    <vt:lpwstr>3081-11.33.82</vt:lpwstr>
  </property>
</Properties>
</file>